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B4D54" w14:textId="77777777" w:rsidR="00A549D8" w:rsidRDefault="00000000">
      <w:pPr>
        <w:spacing w:line="58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中山大学附属第七医院</w:t>
      </w:r>
    </w:p>
    <w:p w14:paraId="13A28947" w14:textId="77777777" w:rsidR="00A549D8" w:rsidRDefault="00000000">
      <w:pPr>
        <w:spacing w:line="580" w:lineRule="exact"/>
        <w:jc w:val="center"/>
        <w:rPr>
          <w:rFonts w:hint="eastAsia"/>
          <w:b/>
          <w:bCs/>
        </w:rPr>
      </w:pPr>
      <w:r>
        <w:rPr>
          <w:rFonts w:ascii="方正小标宋简体" w:eastAsia="方正小标宋简体" w:hint="eastAsia"/>
          <w:sz w:val="44"/>
          <w:szCs w:val="44"/>
        </w:rPr>
        <w:t>2026年科研中心分子医学技术研修班培训方案</w:t>
      </w:r>
    </w:p>
    <w:p w14:paraId="5D7922B6" w14:textId="77777777" w:rsidR="00A549D8" w:rsidRDefault="00A549D8">
      <w:pPr>
        <w:rPr>
          <w:rFonts w:hint="eastAsia"/>
          <w:b/>
          <w:bCs/>
        </w:rPr>
      </w:pPr>
    </w:p>
    <w:p w14:paraId="0B35899F" w14:textId="77777777" w:rsidR="00A549D8" w:rsidRDefault="00000000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一、</w:t>
      </w:r>
      <w:r>
        <w:rPr>
          <w:rFonts w:ascii="黑体" w:eastAsia="黑体" w:hAnsi="黑体" w:hint="eastAsia"/>
          <w:sz w:val="32"/>
          <w:szCs w:val="32"/>
        </w:rPr>
        <w:t>专科介绍</w:t>
      </w:r>
    </w:p>
    <w:p w14:paraId="1FED42A6" w14:textId="42372BEE" w:rsidR="00A549D8" w:rsidRDefault="0000000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我院科研中心分子医学平台集医、教、研一体化建设，下设多个研究课题组，配备全套分子生物学实验设备，涵盖 qPCR、WB、细胞培养、载体构建、样本测序前处理等实验体系，</w:t>
      </w:r>
      <w:r w:rsidR="00E72930">
        <w:rPr>
          <w:rFonts w:ascii="仿宋" w:eastAsia="仿宋" w:hAnsi="仿宋" w:hint="eastAsia"/>
          <w:sz w:val="32"/>
          <w:szCs w:val="32"/>
        </w:rPr>
        <w:t>围绕</w:t>
      </w:r>
      <w:r>
        <w:rPr>
          <w:rFonts w:ascii="仿宋" w:eastAsia="仿宋" w:hAnsi="仿宋" w:hint="eastAsia"/>
          <w:sz w:val="32"/>
          <w:szCs w:val="32"/>
        </w:rPr>
        <w:t>肿瘤、免疫、代谢等方向分子机制研究，各课题组均有成熟</w:t>
      </w:r>
      <w:r w:rsidR="00E72930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标准化</w:t>
      </w:r>
      <w:r w:rsidR="00E72930">
        <w:rPr>
          <w:rFonts w:ascii="仿宋" w:eastAsia="仿宋" w:hAnsi="仿宋" w:hint="eastAsia"/>
          <w:sz w:val="32"/>
          <w:szCs w:val="32"/>
        </w:rPr>
        <w:t>的</w:t>
      </w:r>
      <w:r>
        <w:rPr>
          <w:rFonts w:ascii="仿宋" w:eastAsia="仿宋" w:hAnsi="仿宋" w:hint="eastAsia"/>
          <w:sz w:val="32"/>
          <w:szCs w:val="32"/>
        </w:rPr>
        <w:t>实验流程。平台面向临床医师、科研技术人员招收进修人员，学员可根据自身研究方向自主选择对应课题组PI入组</w:t>
      </w:r>
      <w:r w:rsidR="00E72930">
        <w:rPr>
          <w:rFonts w:ascii="仿宋" w:eastAsia="仿宋" w:hAnsi="仿宋" w:hint="eastAsia"/>
          <w:sz w:val="32"/>
          <w:szCs w:val="32"/>
        </w:rPr>
        <w:t>进行</w:t>
      </w:r>
      <w:r>
        <w:rPr>
          <w:rFonts w:ascii="仿宋" w:eastAsia="仿宋" w:hAnsi="仿宋" w:hint="eastAsia"/>
          <w:sz w:val="32"/>
          <w:szCs w:val="32"/>
        </w:rPr>
        <w:t>实操，同时统一参与公共理论课程，实操资源充足、带教针对性强，能快速</w:t>
      </w:r>
      <w:r w:rsidR="00E72930">
        <w:rPr>
          <w:rFonts w:ascii="仿宋" w:eastAsia="仿宋" w:hAnsi="仿宋" w:hint="eastAsia"/>
          <w:sz w:val="32"/>
          <w:szCs w:val="32"/>
        </w:rPr>
        <w:t>提升</w:t>
      </w:r>
      <w:r w:rsidR="0037552F">
        <w:rPr>
          <w:rFonts w:ascii="仿宋" w:eastAsia="仿宋" w:hAnsi="仿宋" w:hint="eastAsia"/>
          <w:sz w:val="32"/>
          <w:szCs w:val="32"/>
        </w:rPr>
        <w:t>学术规范、</w:t>
      </w:r>
      <w:r>
        <w:rPr>
          <w:rFonts w:ascii="仿宋" w:eastAsia="仿宋" w:hAnsi="仿宋" w:hint="eastAsia"/>
          <w:sz w:val="32"/>
          <w:szCs w:val="32"/>
        </w:rPr>
        <w:t>分子实验</w:t>
      </w:r>
      <w:r w:rsidR="00E72930">
        <w:rPr>
          <w:rFonts w:ascii="仿宋" w:eastAsia="仿宋" w:hAnsi="仿宋" w:hint="eastAsia"/>
          <w:sz w:val="32"/>
          <w:szCs w:val="32"/>
        </w:rPr>
        <w:t>、科研作图等能</w:t>
      </w:r>
      <w:r w:rsidR="00917A8A">
        <w:rPr>
          <w:rFonts w:ascii="仿宋" w:eastAsia="仿宋" w:hAnsi="仿宋" w:hint="eastAsia"/>
          <w:sz w:val="32"/>
          <w:szCs w:val="32"/>
        </w:rPr>
        <w:t>力</w:t>
      </w:r>
      <w:r>
        <w:rPr>
          <w:rFonts w:ascii="仿宋" w:eastAsia="仿宋" w:hAnsi="仿宋" w:hint="eastAsia"/>
          <w:sz w:val="32"/>
          <w:szCs w:val="32"/>
        </w:rPr>
        <w:t>，助力进修人员独立开展院内科研课题。</w:t>
      </w:r>
    </w:p>
    <w:p w14:paraId="6C22A262" w14:textId="77777777" w:rsidR="00A549D8" w:rsidRDefault="00000000" w:rsidP="00E72930">
      <w:pPr>
        <w:ind w:firstLineChars="200" w:firstLine="420"/>
        <w:rPr>
          <w:rFonts w:ascii="仿宋" w:eastAsia="仿宋" w:hAnsi="仿宋" w:hint="eastAsia"/>
          <w:sz w:val="32"/>
          <w:szCs w:val="32"/>
        </w:rPr>
      </w:pPr>
      <w:r>
        <w:rPr>
          <w:noProof/>
        </w:rPr>
        <w:drawing>
          <wp:inline distT="0" distB="0" distL="0" distR="0" wp14:anchorId="0649CD54" wp14:editId="5625C95C">
            <wp:extent cx="4904105" cy="3677920"/>
            <wp:effectExtent l="0" t="0" r="0" b="0"/>
            <wp:docPr id="1" name="图片 1" descr="76bd6a26-ae37-436b-b710-4d27b7c182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6bd6a26-ae37-436b-b710-4d27b7c1823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4D878" w14:textId="4FF7157E" w:rsidR="00E72930" w:rsidRDefault="00E72930" w:rsidP="00E2500A">
      <w:pPr>
        <w:ind w:firstLineChars="200" w:firstLine="640"/>
        <w:jc w:val="center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中山七院二期科研场地图</w:t>
      </w:r>
    </w:p>
    <w:p w14:paraId="07BC7FC4" w14:textId="77777777" w:rsidR="00A549D8" w:rsidRDefault="00A549D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14:paraId="33118FFB" w14:textId="77777777" w:rsidR="00A549D8" w:rsidRDefault="00000000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二、</w:t>
      </w:r>
      <w:r>
        <w:rPr>
          <w:rFonts w:ascii="黑体" w:eastAsia="黑体" w:hAnsi="黑体" w:hint="eastAsia"/>
          <w:sz w:val="32"/>
          <w:szCs w:val="32"/>
        </w:rPr>
        <w:t>项目特色</w:t>
      </w:r>
    </w:p>
    <w:p w14:paraId="43CD709E" w14:textId="77777777" w:rsidR="00A549D8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 双向选组模式：进修生报名后自主匹配研究方向，选择对应课题组PI入组专项学习；</w:t>
      </w:r>
    </w:p>
    <w:p w14:paraId="3B662E79" w14:textId="77777777" w:rsidR="00A549D8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 公共课+课题组专项实操分开教学：通用理论统一集中授课，细分实验、课题实操在对应课题组内一对一带教；</w:t>
      </w:r>
    </w:p>
    <w:p w14:paraId="5A119FF6" w14:textId="77777777" w:rsidR="00A549D8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 配套完整标准化实验手册，提供真实科研样本实操练习；</w:t>
      </w:r>
    </w:p>
    <w:p w14:paraId="71328F8F" w14:textId="77777777" w:rsidR="00A549D8" w:rsidRDefault="00000000">
      <w:pPr>
        <w:spacing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 PI 全程指导课题设计、实验技术、数据整理与论文撰写。</w:t>
      </w:r>
    </w:p>
    <w:p w14:paraId="3BBA5012" w14:textId="77777777" w:rsidR="00A549D8" w:rsidRDefault="00000000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</w:t>
      </w:r>
      <w:r>
        <w:rPr>
          <w:rFonts w:ascii="黑体" w:eastAsia="黑体" w:hAnsi="黑体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师资团队</w:t>
      </w:r>
    </w:p>
    <w:p w14:paraId="759E8466" w14:textId="77777777" w:rsidR="00A549D8" w:rsidRDefault="00000000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研修项目共有35名课题组 PI 作为核心带教师资，均为博士学历，长期负责独立课题，具备丰富分子实验、课题指导及教学经验；每个课题组至少有1名专职实验技术指导人员（助理研究员/博士后），统一负责研修课程仪器、试剂筹备，配合各课题组开展实操教学。</w:t>
      </w:r>
    </w:p>
    <w:p w14:paraId="5D4A304B" w14:textId="77777777" w:rsidR="00A549D8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培训目标</w:t>
      </w:r>
    </w:p>
    <w:p w14:paraId="022B952D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1.通过公共课程掌握分子实验基础原理、实验室安全、通用仪器操作；</w:t>
      </w:r>
    </w:p>
    <w:p w14:paraId="5D069059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2.入组后熟练掌握本课题组专属研究方向特色分子实验技术；</w:t>
      </w:r>
    </w:p>
    <w:p w14:paraId="5FDC9E98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3.独立完成常规分子实验，自主排查实验常见问题；</w:t>
      </w:r>
    </w:p>
    <w:p w14:paraId="2DBD0C28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4.在 PI 指导下完成小型课题实操，具备独立设计、开展科研实验的能力。</w:t>
      </w:r>
    </w:p>
    <w:p w14:paraId="48881354" w14:textId="77777777" w:rsidR="00A549D8" w:rsidRDefault="00000000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五、培训方案</w:t>
      </w:r>
    </w:p>
    <w:p w14:paraId="275A4B38" w14:textId="77777777" w:rsidR="00A549D8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研修时长</w:t>
      </w:r>
    </w:p>
    <w:p w14:paraId="4E0464AE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根据课题学习需求入科学习3/6/9/12个月。</w:t>
      </w:r>
    </w:p>
    <w:p w14:paraId="1997500A" w14:textId="77777777" w:rsidR="00A549D8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学习内容/</w:t>
      </w:r>
      <w:r>
        <w:rPr>
          <w:rFonts w:ascii="仿宋" w:eastAsia="仿宋" w:hAnsi="仿宋" w:hint="eastAsia"/>
          <w:sz w:val="32"/>
          <w:szCs w:val="32"/>
        </w:rPr>
        <w:t>课程设置（理论课程+技能训练）</w:t>
      </w:r>
    </w:p>
    <w:tbl>
      <w:tblPr>
        <w:tblStyle w:val="ab"/>
        <w:tblW w:w="8222" w:type="dxa"/>
        <w:tblLook w:val="04A0" w:firstRow="1" w:lastRow="0" w:firstColumn="1" w:lastColumn="0" w:noHBand="0" w:noVBand="1"/>
      </w:tblPr>
      <w:tblGrid>
        <w:gridCol w:w="1922"/>
        <w:gridCol w:w="1909"/>
        <w:gridCol w:w="2769"/>
        <w:gridCol w:w="1622"/>
      </w:tblGrid>
      <w:tr w:rsidR="00A549D8" w14:paraId="35E2FF54" w14:textId="77777777">
        <w:tc>
          <w:tcPr>
            <w:tcW w:w="1922" w:type="dxa"/>
          </w:tcPr>
          <w:p w14:paraId="5CE64787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授课人姓名</w:t>
            </w:r>
          </w:p>
        </w:tc>
        <w:tc>
          <w:tcPr>
            <w:tcW w:w="1909" w:type="dxa"/>
          </w:tcPr>
          <w:p w14:paraId="0952F338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职称</w:t>
            </w:r>
          </w:p>
        </w:tc>
        <w:tc>
          <w:tcPr>
            <w:tcW w:w="2769" w:type="dxa"/>
          </w:tcPr>
          <w:p w14:paraId="4E495168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课程</w:t>
            </w:r>
          </w:p>
        </w:tc>
        <w:tc>
          <w:tcPr>
            <w:tcW w:w="1622" w:type="dxa"/>
          </w:tcPr>
          <w:p w14:paraId="6DC4E71C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学时数</w:t>
            </w:r>
          </w:p>
        </w:tc>
      </w:tr>
      <w:tr w:rsidR="00A549D8" w14:paraId="4E3DE6CC" w14:textId="77777777">
        <w:trPr>
          <w:trHeight w:val="1442"/>
        </w:trPr>
        <w:tc>
          <w:tcPr>
            <w:tcW w:w="1922" w:type="dxa"/>
            <w:vAlign w:val="center"/>
          </w:tcPr>
          <w:p w14:paraId="606A118E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潘逸航/</w:t>
            </w:r>
          </w:p>
          <w:p w14:paraId="60305ED5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许宇智/</w:t>
            </w:r>
          </w:p>
          <w:p w14:paraId="3AB300F3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王云</w:t>
            </w:r>
          </w:p>
        </w:tc>
        <w:tc>
          <w:tcPr>
            <w:tcW w:w="1909" w:type="dxa"/>
            <w:vAlign w:val="center"/>
          </w:tcPr>
          <w:p w14:paraId="00382F84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研究员/ 副研究员 / 助理研究员</w:t>
            </w:r>
          </w:p>
        </w:tc>
        <w:tc>
          <w:tcPr>
            <w:tcW w:w="2769" w:type="dxa"/>
            <w:vAlign w:val="center"/>
          </w:tcPr>
          <w:p w14:paraId="06838824" w14:textId="77777777" w:rsidR="00A549D8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科学数据规范与科研知识产权（理论 + 实践）</w:t>
            </w:r>
          </w:p>
        </w:tc>
        <w:tc>
          <w:tcPr>
            <w:tcW w:w="1622" w:type="dxa"/>
            <w:vAlign w:val="center"/>
          </w:tcPr>
          <w:p w14:paraId="7F0A6E7E" w14:textId="77777777" w:rsidR="00A549D8" w:rsidRDefault="0000000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  <w:tr w:rsidR="00A549D8" w14:paraId="518F709A" w14:textId="77777777">
        <w:tc>
          <w:tcPr>
            <w:tcW w:w="1922" w:type="dxa"/>
            <w:vAlign w:val="center"/>
          </w:tcPr>
          <w:p w14:paraId="37CBFFF2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 xml:space="preserve">易陈菊 /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苏一洵</w:t>
            </w:r>
            <w:r>
              <w:rPr>
                <w:rFonts w:ascii="仿宋" w:eastAsia="仿宋" w:hAnsi="仿宋"/>
                <w:sz w:val="32"/>
                <w:szCs w:val="32"/>
              </w:rPr>
              <w:t xml:space="preserve"> / 王琪</w:t>
            </w:r>
          </w:p>
        </w:tc>
        <w:tc>
          <w:tcPr>
            <w:tcW w:w="1909" w:type="dxa"/>
            <w:vAlign w:val="center"/>
          </w:tcPr>
          <w:p w14:paraId="2826A69B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研究员/ 副研究员 / 助理研究员</w:t>
            </w:r>
          </w:p>
        </w:tc>
        <w:tc>
          <w:tcPr>
            <w:tcW w:w="2769" w:type="dxa"/>
            <w:vAlign w:val="center"/>
          </w:tcPr>
          <w:p w14:paraId="6DD24AEB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分子克隆与重组质粒构建实验（理论 + 实践）</w:t>
            </w:r>
          </w:p>
        </w:tc>
        <w:tc>
          <w:tcPr>
            <w:tcW w:w="1622" w:type="dxa"/>
            <w:vAlign w:val="center"/>
          </w:tcPr>
          <w:p w14:paraId="37910592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  <w:tr w:rsidR="00A549D8" w14:paraId="161735DB" w14:textId="77777777">
        <w:tc>
          <w:tcPr>
            <w:tcW w:w="1922" w:type="dxa"/>
            <w:vAlign w:val="center"/>
          </w:tcPr>
          <w:p w14:paraId="06DFB77D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汪建成 /</w:t>
            </w:r>
          </w:p>
          <w:p w14:paraId="4F8EED55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尹国维/ </w:t>
            </w:r>
          </w:p>
          <w:p w14:paraId="3933B530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卢盈颖</w:t>
            </w:r>
          </w:p>
        </w:tc>
        <w:tc>
          <w:tcPr>
            <w:tcW w:w="1909" w:type="dxa"/>
            <w:vAlign w:val="center"/>
          </w:tcPr>
          <w:p w14:paraId="0FBACE14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研究员/ 副研究员/ 特聘副研究员</w:t>
            </w:r>
          </w:p>
        </w:tc>
        <w:tc>
          <w:tcPr>
            <w:tcW w:w="2769" w:type="dxa"/>
            <w:vAlign w:val="center"/>
          </w:tcPr>
          <w:p w14:paraId="0C808E5D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细胞培养技术与实验方案设计（理论 + 实践）</w:t>
            </w:r>
          </w:p>
        </w:tc>
        <w:tc>
          <w:tcPr>
            <w:tcW w:w="1622" w:type="dxa"/>
            <w:vAlign w:val="center"/>
          </w:tcPr>
          <w:p w14:paraId="3AE248FF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  <w:tr w:rsidR="00A549D8" w14:paraId="6D8666C0" w14:textId="77777777">
        <w:tc>
          <w:tcPr>
            <w:tcW w:w="1922" w:type="dxa"/>
            <w:vAlign w:val="center"/>
          </w:tcPr>
          <w:p w14:paraId="1379D686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李丹阳/  /李江/</w:t>
            </w:r>
          </w:p>
          <w:p w14:paraId="44277C7D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骆娟</w:t>
            </w:r>
          </w:p>
        </w:tc>
        <w:tc>
          <w:tcPr>
            <w:tcW w:w="1909" w:type="dxa"/>
            <w:vAlign w:val="center"/>
          </w:tcPr>
          <w:p w14:paraId="39DFAEE3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副研究员 / 副研究员/助理研究员</w:t>
            </w:r>
          </w:p>
        </w:tc>
        <w:tc>
          <w:tcPr>
            <w:tcW w:w="2769" w:type="dxa"/>
            <w:vAlign w:val="center"/>
          </w:tcPr>
          <w:p w14:paraId="55450E62" w14:textId="77777777" w:rsidR="00A549D8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科研图表制作与数据可视化（理论 + 实践）</w:t>
            </w:r>
          </w:p>
        </w:tc>
        <w:tc>
          <w:tcPr>
            <w:tcW w:w="1622" w:type="dxa"/>
            <w:vAlign w:val="center"/>
          </w:tcPr>
          <w:p w14:paraId="5545B039" w14:textId="77777777" w:rsidR="00A549D8" w:rsidRDefault="00000000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  <w:tr w:rsidR="00A549D8" w14:paraId="0453B81D" w14:textId="77777777">
        <w:tc>
          <w:tcPr>
            <w:tcW w:w="1922" w:type="dxa"/>
            <w:vAlign w:val="center"/>
          </w:tcPr>
          <w:p w14:paraId="5820D11B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刘朝兴 /</w:t>
            </w:r>
          </w:p>
          <w:p w14:paraId="7E02CE4C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朱亭/</w:t>
            </w:r>
          </w:p>
          <w:p w14:paraId="4CB1437A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王佳琪</w:t>
            </w:r>
          </w:p>
        </w:tc>
        <w:tc>
          <w:tcPr>
            <w:tcW w:w="1909" w:type="dxa"/>
            <w:vAlign w:val="center"/>
          </w:tcPr>
          <w:p w14:paraId="4776818D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副研究员 / 助理研究员/ 助理研究员</w:t>
            </w:r>
          </w:p>
        </w:tc>
        <w:tc>
          <w:tcPr>
            <w:tcW w:w="2769" w:type="dxa"/>
            <w:vAlign w:val="center"/>
          </w:tcPr>
          <w:p w14:paraId="2854DD15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PCR 实验操作与引物设计（理论 + 实践）</w:t>
            </w:r>
          </w:p>
        </w:tc>
        <w:tc>
          <w:tcPr>
            <w:tcW w:w="1622" w:type="dxa"/>
            <w:vAlign w:val="center"/>
          </w:tcPr>
          <w:p w14:paraId="5AB246D1" w14:textId="77777777" w:rsidR="00A549D8" w:rsidRDefault="00000000">
            <w:pPr>
              <w:spacing w:line="560" w:lineRule="exact"/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</w:tr>
    </w:tbl>
    <w:p w14:paraId="1ACAF180" w14:textId="77777777" w:rsidR="00A549D8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带教方法</w:t>
      </w:r>
    </w:p>
    <w:p w14:paraId="769F817B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1.报名阶段：进修生填写研究方向意向，自主选择对应课题组PI，确定入组学习；</w:t>
      </w:r>
    </w:p>
    <w:p w14:paraId="60373E8C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2.公共课程：小班集中统一授课，全员共同学习通用基础技术；</w:t>
      </w:r>
    </w:p>
    <w:p w14:paraId="42676C3B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3.专项实操：分课题组一对一跟PI实操，每日组内答疑，每周全中心开展跨组实验问题交流会；</w:t>
      </w:r>
    </w:p>
    <w:p w14:paraId="14AFF871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4.根据课题指导开展实验研究。</w:t>
      </w:r>
    </w:p>
    <w:p w14:paraId="3DDAB4D5" w14:textId="77777777" w:rsidR="00A549D8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培训效果</w:t>
      </w:r>
    </w:p>
    <w:p w14:paraId="0A58288C" w14:textId="77777777" w:rsidR="00A549D8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进修人员既能掌握全领域通用分子实验技能，又精通所选课题组细分方向特色技术；可独立开展常规分子实验与对应方向专项课题，带回完整标准化操作流程，用于本单位实验室建设与临床科研工作。</w:t>
      </w:r>
    </w:p>
    <w:p w14:paraId="73183C2D" w14:textId="77777777" w:rsidR="00A549D8" w:rsidRDefault="00000000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六、考核方案</w:t>
      </w:r>
    </w:p>
    <w:p w14:paraId="03C988D5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1.公共理论笔试（40 分）：通用分子实验原理、实验室安全、基础仪器操作；</w:t>
      </w:r>
    </w:p>
    <w:p w14:paraId="6592F7DE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2.课题组专项实操考核（50 分）：由对应PI出题，独立完成本方向特色实验并现场答辩；</w:t>
      </w:r>
    </w:p>
    <w:p w14:paraId="523BEB18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3.日常综合考评（10 分）：公共课考勤、组内实验记录完整性、学习态度。</w:t>
      </w:r>
    </w:p>
    <w:p w14:paraId="5FB6E3B0" w14:textId="77777777" w:rsidR="00A549D8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总分≥60 分为考核合格，研修结束发放研修结业证明。</w:t>
      </w:r>
    </w:p>
    <w:sectPr w:rsidR="00A549D8">
      <w:pgSz w:w="11906" w:h="16838"/>
      <w:pgMar w:top="12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F2276" w14:textId="77777777" w:rsidR="005A71A5" w:rsidRDefault="005A71A5" w:rsidP="00E72930">
      <w:pPr>
        <w:rPr>
          <w:rFonts w:hint="eastAsia"/>
        </w:rPr>
      </w:pPr>
      <w:r>
        <w:separator/>
      </w:r>
    </w:p>
  </w:endnote>
  <w:endnote w:type="continuationSeparator" w:id="0">
    <w:p w14:paraId="1FF9D882" w14:textId="77777777" w:rsidR="005A71A5" w:rsidRDefault="005A71A5" w:rsidP="00E729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  <w:embedRegular r:id="rId1" w:subsetted="1" w:fontKey="{C6414E7E-B99D-4EEE-8380-58C9C7AD8BF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4883313-1A8E-41E8-BB02-33EDB330803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DC614EBC-43C8-4818-B4B4-0CC4C8AA8642}"/>
  </w:font>
  <w:font w:name="仿宋_GB2312">
    <w:charset w:val="86"/>
    <w:family w:val="auto"/>
    <w:pitch w:val="default"/>
    <w:sig w:usb0="00000001" w:usb1="080E0000" w:usb2="00000000" w:usb3="00000000" w:csb0="00040000" w:csb1="00000000"/>
    <w:embedRegular r:id="rId4" w:fontKey="{E52B1816-5EB2-43BE-A2F8-B75B5FFDD7F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11A7" w14:textId="77777777" w:rsidR="005A71A5" w:rsidRDefault="005A71A5" w:rsidP="00E72930">
      <w:pPr>
        <w:rPr>
          <w:rFonts w:hint="eastAsia"/>
        </w:rPr>
      </w:pPr>
      <w:r>
        <w:separator/>
      </w:r>
    </w:p>
  </w:footnote>
  <w:footnote w:type="continuationSeparator" w:id="0">
    <w:p w14:paraId="2E944B38" w14:textId="77777777" w:rsidR="005A71A5" w:rsidRDefault="005A71A5" w:rsidP="00E7293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433229"/>
    <w:multiLevelType w:val="singleLevel"/>
    <w:tmpl w:val="A143322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A3086C0"/>
    <w:multiLevelType w:val="singleLevel"/>
    <w:tmpl w:val="EA3086C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635134019">
    <w:abstractNumId w:val="0"/>
  </w:num>
  <w:num w:numId="2" w16cid:durableId="152478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000"/>
    <w:rsid w:val="000C3EDD"/>
    <w:rsid w:val="002430C9"/>
    <w:rsid w:val="002D7C28"/>
    <w:rsid w:val="0037552F"/>
    <w:rsid w:val="00470729"/>
    <w:rsid w:val="005A71A5"/>
    <w:rsid w:val="007231A3"/>
    <w:rsid w:val="00724BF5"/>
    <w:rsid w:val="00832A51"/>
    <w:rsid w:val="0086634C"/>
    <w:rsid w:val="009109C8"/>
    <w:rsid w:val="00917A8A"/>
    <w:rsid w:val="00992BCE"/>
    <w:rsid w:val="00A549D8"/>
    <w:rsid w:val="00AB623C"/>
    <w:rsid w:val="00C16BA9"/>
    <w:rsid w:val="00DE55B1"/>
    <w:rsid w:val="00E00000"/>
    <w:rsid w:val="00E2500A"/>
    <w:rsid w:val="00E72930"/>
    <w:rsid w:val="00EF14FE"/>
    <w:rsid w:val="0D4728C2"/>
    <w:rsid w:val="0FFB6786"/>
    <w:rsid w:val="1A805C3C"/>
    <w:rsid w:val="1DCA10D2"/>
    <w:rsid w:val="1F8B46C3"/>
    <w:rsid w:val="24A97F4B"/>
    <w:rsid w:val="385A6D6A"/>
    <w:rsid w:val="43003492"/>
    <w:rsid w:val="45B92422"/>
    <w:rsid w:val="47F746F7"/>
    <w:rsid w:val="4EEC1883"/>
    <w:rsid w:val="51BE02C1"/>
    <w:rsid w:val="587834D4"/>
    <w:rsid w:val="591B2E50"/>
    <w:rsid w:val="5BDF614A"/>
    <w:rsid w:val="5D317E0C"/>
    <w:rsid w:val="5E3E25F8"/>
    <w:rsid w:val="618463A2"/>
    <w:rsid w:val="64903076"/>
    <w:rsid w:val="6D50172E"/>
    <w:rsid w:val="6F5558EE"/>
    <w:rsid w:val="6F6357B1"/>
    <w:rsid w:val="72B80173"/>
    <w:rsid w:val="72D336FA"/>
    <w:rsid w:val="773B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56FA20C"/>
  <w15:docId w15:val="{A37CBC81-094C-4779-98A9-1BC26ECD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f1">
    <w:name w:val="Revision"/>
    <w:hidden/>
    <w:uiPriority w:val="99"/>
    <w:unhideWhenUsed/>
    <w:rsid w:val="00E7293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723</Words>
  <Characters>745</Characters>
  <Application>Microsoft Office Word</Application>
  <DocSecurity>0</DocSecurity>
  <Lines>67</Lines>
  <Paragraphs>66</Paragraphs>
  <ScaleCrop>false</ScaleCrop>
  <Company>中山大学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 xiaoran</dc:creator>
  <cp:lastModifiedBy>Uyi Xu</cp:lastModifiedBy>
  <cp:revision>5</cp:revision>
  <dcterms:created xsi:type="dcterms:W3CDTF">2026-07-24T02:49:00Z</dcterms:created>
  <dcterms:modified xsi:type="dcterms:W3CDTF">2026-07-24T02:56:00Z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eyJoZGlkIjoiMDk1YzBlYTYwZmMxMDcxNzI4OTc5NGFmZmEwNTg1ZjEiLCJ1c2VySWQiOiIxNDQyOTgwODk1In0=</vt:lpwstr>
  </property>
  <property fmtid="{D5CDD505-2E9C-101B-9397-08002B2CF9AE}" pid="3" name="KSOProductBuildVer">
    <vt:lpwstr>2052-12.1.0.26895</vt:lpwstr>
  </property>
  <property fmtid="{D5CDD505-2E9C-101B-9397-08002B2CF9AE}" pid="4" name="ICV">
    <vt:lpwstr>572CC2785D634B7886303323BD504E2B_13</vt:lpwstr>
  </property>
</Properties>
</file>