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2625E"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中山大学附属第七医院</w:t>
      </w:r>
    </w:p>
    <w:p w14:paraId="6BAC83C1">
      <w:pPr>
        <w:spacing w:line="580" w:lineRule="exact"/>
        <w:jc w:val="center"/>
        <w:rPr>
          <w:b/>
          <w:bCs/>
        </w:rPr>
      </w:pPr>
      <w:r>
        <w:rPr>
          <w:rFonts w:hint="eastAsia" w:ascii="方正小标宋简体" w:eastAsia="方正小标宋简体"/>
          <w:sz w:val="44"/>
          <w:szCs w:val="44"/>
        </w:rPr>
        <w:t>2026年药学部静脉用药集中调配与评价技术研修班培训方案</w:t>
      </w:r>
    </w:p>
    <w:p w14:paraId="47DCC106">
      <w:pPr>
        <w:rPr>
          <w:b/>
          <w:bCs/>
        </w:rPr>
      </w:pPr>
    </w:p>
    <w:p w14:paraId="1ADBB653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专科介绍</w:t>
      </w:r>
    </w:p>
    <w:p w14:paraId="7623CA2F">
      <w:pPr>
        <w:pStyle w:val="14"/>
        <w:widowControl/>
        <w:spacing w:after="150" w:afterAutospacing="0" w:line="360" w:lineRule="auto"/>
        <w:ind w:firstLine="555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中山大学附属第七医院（中山七院）是中山大学直属附属医院及第七临床学院，是深圳市医疗卫生“三名工程”引进名院项目；医院规划总床位4000张，其中一期编制床位800张，于2018年5月11日开放运营；医院传承中山大学医科160年文化积淀，依托中山大学医科在广州的7家高水平附属医院，平移27个国家临床重点专科团队。中山七院现已建立了覆盖本科生见习实习、硕士博士研究生培养、住院医师和进修生培训的完整教学体系。</w:t>
      </w:r>
    </w:p>
    <w:p w14:paraId="24F7C259">
      <w:pPr>
        <w:pStyle w:val="14"/>
        <w:widowControl/>
        <w:spacing w:after="150" w:afterAutospacing="0" w:line="360" w:lineRule="auto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2962910"/>
            <wp:effectExtent l="0" t="0" r="10160" b="8890"/>
            <wp:docPr id="2" name="图片 2" descr="b7933f072e2ef1f2b1e3627cf882af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7933f072e2ef1f2b1e3627cf882af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6D8D1">
      <w:pPr>
        <w:pStyle w:val="14"/>
        <w:widowControl/>
        <w:spacing w:after="150" w:afterAutospacing="0" w:line="360" w:lineRule="auto"/>
        <w:ind w:firstLine="555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院药学部围绕以患者为中心，以服务临床为核心，全面开展了药事管理、药品调剂、处方前置审核、药物咨询、药学查房与会诊、治疗药物监测、GCP、药物评估、实习带教、研究生培养、药学研究与转化等工作。静脉用药调配中心于2019年通过深圳市卫健委验收，并于2024年7月通过中国医药教育协会的评审，批复为“中国医药教育协会静脉用药集中调配与评价培训基地”；自本基地成立以来，已成功举办三期进修班，共培养了来自省内外多家医院的学员5名。</w:t>
      </w:r>
    </w:p>
    <w:p w14:paraId="500A756E">
      <w:pPr>
        <w:pStyle w:val="14"/>
        <w:widowControl/>
        <w:spacing w:after="150" w:afterAutospacing="0" w:line="360" w:lineRule="auto"/>
        <w:ind w:firstLine="555"/>
        <w:jc w:val="both"/>
        <w:rPr>
          <w:rFonts w:hint="eastAsia" w:ascii="仿宋" w:hAnsi="仿宋" w:eastAsia="仿宋" w:cs="仿宋"/>
          <w:sz w:val="28"/>
          <w:szCs w:val="28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2894965</wp:posOffset>
            </wp:positionH>
            <wp:positionV relativeFrom="paragraph">
              <wp:posOffset>34290</wp:posOffset>
            </wp:positionV>
            <wp:extent cx="2499995" cy="1875790"/>
            <wp:effectExtent l="0" t="0" r="14605" b="10160"/>
            <wp:wrapNone/>
            <wp:docPr id="1" name="Picture 6" descr="H:/PIVAS-静配药师培训基地/验收汇报PPT/照片PIVAS工作/配化1.jpg配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H:/PIVAS-静配药师培训基地/验收汇报PPT/照片PIVAS工作/配化1.jpg配化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4" r="34"/>
                    <a:stretch>
                      <a:fillRect/>
                    </a:stretch>
                  </pic:blipFill>
                  <pic:spPr>
                    <a:xfrm>
                      <a:off x="0" y="0"/>
                      <a:ext cx="2499995" cy="1875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1905</wp:posOffset>
            </wp:positionV>
            <wp:extent cx="2887345" cy="1924685"/>
            <wp:effectExtent l="0" t="0" r="8255" b="18415"/>
            <wp:wrapNone/>
            <wp:docPr id="3" name="Picture 2" descr="D:\静配验收\工作照片\PIVAS-审方.JPGPIVAS-审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D:\静配验收\工作照片\PIVAS-审方.JPGPIVAS-审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7345" cy="1924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F9D3BC4">
      <w:pPr>
        <w:pStyle w:val="14"/>
        <w:widowControl/>
        <w:spacing w:after="150" w:afterAutospacing="0" w:line="360" w:lineRule="auto"/>
        <w:ind w:firstLine="555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3087FB4E">
      <w:pPr>
        <w:pStyle w:val="14"/>
        <w:widowControl/>
        <w:spacing w:after="150" w:afterAutospacing="0" w:line="360" w:lineRule="auto"/>
        <w:ind w:firstLine="555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01850600">
      <w:pPr>
        <w:pStyle w:val="14"/>
        <w:widowControl/>
        <w:spacing w:after="150" w:afterAutospacing="0" w:line="360" w:lineRule="auto"/>
        <w:ind w:firstLine="555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34D1B063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</w:rPr>
        <w:t>项目特色</w:t>
      </w:r>
    </w:p>
    <w:p w14:paraId="6CCA9FEB">
      <w:pPr>
        <w:pStyle w:val="14"/>
        <w:widowControl/>
        <w:spacing w:after="150" w:afterAutospacing="0" w:line="360" w:lineRule="auto"/>
        <w:ind w:firstLine="555"/>
        <w:jc w:val="both"/>
        <w:rPr>
          <w:rFonts w:ascii="仿宋" w:hAnsi="仿宋" w:eastAsia="仿宋" w:cs="仿宋"/>
          <w:kern w:val="2"/>
          <w:sz w:val="28"/>
          <w:szCs w:val="28"/>
        </w:rPr>
      </w:pPr>
      <w:r>
        <w:rPr>
          <w:rFonts w:ascii="仿宋" w:hAnsi="仿宋" w:eastAsia="仿宋" w:cs="仿宋"/>
          <w:kern w:val="2"/>
          <w:sz w:val="28"/>
          <w:szCs w:val="28"/>
        </w:rPr>
        <w:t>坚持以临床实践</w:t>
      </w:r>
      <w:r>
        <w:rPr>
          <w:rFonts w:hint="eastAsia" w:ascii="仿宋" w:hAnsi="仿宋" w:eastAsia="仿宋" w:cs="仿宋"/>
          <w:kern w:val="2"/>
          <w:sz w:val="28"/>
          <w:szCs w:val="28"/>
        </w:rPr>
        <w:t>、</w:t>
      </w:r>
      <w:r>
        <w:rPr>
          <w:rFonts w:ascii="仿宋" w:hAnsi="仿宋" w:eastAsia="仿宋" w:cs="仿宋"/>
          <w:kern w:val="2"/>
          <w:sz w:val="28"/>
          <w:szCs w:val="28"/>
        </w:rPr>
        <w:t>调剂</w:t>
      </w:r>
      <w:r>
        <w:rPr>
          <w:rFonts w:hint="eastAsia" w:ascii="仿宋" w:hAnsi="仿宋" w:eastAsia="仿宋" w:cs="仿宋"/>
          <w:kern w:val="2"/>
          <w:sz w:val="28"/>
          <w:szCs w:val="28"/>
        </w:rPr>
        <w:t>安全与质量</w:t>
      </w:r>
      <w:r>
        <w:rPr>
          <w:rFonts w:ascii="仿宋" w:hAnsi="仿宋" w:eastAsia="仿宋" w:cs="仿宋"/>
          <w:kern w:val="2"/>
          <w:sz w:val="28"/>
          <w:szCs w:val="28"/>
        </w:rPr>
        <w:t>为基础，联合临床药师发挥临床药学优势，开展</w:t>
      </w:r>
      <w:r>
        <w:rPr>
          <w:rFonts w:hint="eastAsia" w:ascii="仿宋" w:hAnsi="仿宋" w:eastAsia="仿宋" w:cs="仿宋"/>
          <w:sz w:val="28"/>
          <w:szCs w:val="28"/>
        </w:rPr>
        <w:t>静脉用药集中调配与静脉用药评价</w:t>
      </w:r>
      <w:r>
        <w:rPr>
          <w:rFonts w:ascii="仿宋" w:hAnsi="仿宋" w:eastAsia="仿宋" w:cs="仿宋"/>
          <w:kern w:val="2"/>
          <w:sz w:val="28"/>
          <w:szCs w:val="28"/>
        </w:rPr>
        <w:t>等项目，</w:t>
      </w:r>
      <w:r>
        <w:rPr>
          <w:rFonts w:ascii="仿宋" w:hAnsi="仿宋" w:eastAsia="仿宋" w:cs="仿宋"/>
          <w:sz w:val="28"/>
          <w:szCs w:val="28"/>
        </w:rPr>
        <w:t>与医护形成一个紧密合作的安全用药团队</w:t>
      </w:r>
      <w:r>
        <w:rPr>
          <w:rFonts w:ascii="仿宋" w:hAnsi="仿宋" w:eastAsia="仿宋" w:cs="仿宋"/>
          <w:kern w:val="2"/>
          <w:sz w:val="28"/>
          <w:szCs w:val="28"/>
        </w:rPr>
        <w:t>。</w:t>
      </w:r>
    </w:p>
    <w:p w14:paraId="5141A5DF">
      <w:pPr>
        <w:pStyle w:val="14"/>
        <w:widowControl/>
        <w:spacing w:after="150" w:afterAutospacing="0" w:line="360" w:lineRule="auto"/>
        <w:ind w:firstLine="555"/>
        <w:jc w:val="both"/>
        <w:rPr>
          <w:rFonts w:ascii="仿宋" w:hAnsi="仿宋" w:eastAsia="仿宋"/>
          <w:b/>
          <w:bCs/>
          <w:color w:val="5B9BD5" w:themeColor="accent5"/>
          <w:sz w:val="32"/>
          <w:szCs w:val="32"/>
          <w14:textFill>
            <w14:solidFill>
              <w14:schemeClr w14:val="accent5"/>
            </w14:solidFill>
          </w14:textFill>
        </w:rPr>
      </w:pPr>
      <w:r>
        <w:rPr>
          <w:rFonts w:ascii="仿宋" w:hAnsi="仿宋" w:eastAsia="仿宋" w:cs="仿宋"/>
          <w:sz w:val="28"/>
          <w:szCs w:val="28"/>
        </w:rPr>
        <w:t>一周1次集中业务学习及答疑，让学员夯实理论基础、改进学习方法、提升医院药学技术能力和沟通技巧等。</w:t>
      </w:r>
    </w:p>
    <w:p w14:paraId="542F0CFA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师资团队</w:t>
      </w:r>
    </w:p>
    <w:p w14:paraId="6D03E580">
      <w:pPr>
        <w:spacing w:line="56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强大的带教师资</w:t>
      </w:r>
      <w:r>
        <w:rPr>
          <w:rFonts w:ascii="仿宋" w:hAnsi="仿宋" w:eastAsia="仿宋" w:cs="仿宋"/>
          <w:kern w:val="0"/>
          <w:sz w:val="28"/>
          <w:szCs w:val="28"/>
        </w:rPr>
        <w:t>团队，我院</w:t>
      </w:r>
      <w:r>
        <w:rPr>
          <w:rFonts w:ascii="仿宋" w:hAnsi="仿宋" w:eastAsia="仿宋" w:cs="仿宋"/>
          <w:sz w:val="28"/>
          <w:szCs w:val="28"/>
        </w:rPr>
        <w:t>静脉用药调配带教药师有13</w:t>
      </w:r>
      <w:r>
        <w:rPr>
          <w:rFonts w:ascii="仿宋" w:hAnsi="仿宋" w:eastAsia="仿宋" w:cs="仿宋"/>
          <w:kern w:val="0"/>
          <w:sz w:val="28"/>
          <w:szCs w:val="28"/>
        </w:rPr>
        <w:t>人</w:t>
      </w:r>
      <w:r>
        <w:rPr>
          <w:rFonts w:ascii="仿宋" w:hAnsi="仿宋" w:eastAsia="仿宋" w:cs="仿宋"/>
          <w:sz w:val="28"/>
          <w:szCs w:val="28"/>
        </w:rPr>
        <w:t>，用药评价带教临床药师有</w:t>
      </w:r>
      <w:r>
        <w:rPr>
          <w:rFonts w:hint="eastAsia" w:ascii="仿宋" w:hAnsi="仿宋" w:eastAsia="仿宋" w:cs="仿宋"/>
          <w:sz w:val="28"/>
          <w:szCs w:val="28"/>
        </w:rPr>
        <w:t>5人</w:t>
      </w:r>
      <w:r>
        <w:rPr>
          <w:rFonts w:ascii="仿宋" w:hAnsi="仿宋" w:eastAsia="仿宋" w:cs="仿宋"/>
          <w:kern w:val="0"/>
          <w:sz w:val="28"/>
          <w:szCs w:val="28"/>
        </w:rPr>
        <w:t>，</w:t>
      </w:r>
      <w:r>
        <w:rPr>
          <w:rFonts w:ascii="仿宋" w:hAnsi="仿宋" w:eastAsia="仿宋" w:cs="仿宋"/>
          <w:sz w:val="28"/>
          <w:szCs w:val="28"/>
        </w:rPr>
        <w:t>具有丰富的医院药学技术实践工作经验和教学经验，</w:t>
      </w:r>
      <w:r>
        <w:rPr>
          <w:rFonts w:ascii="仿宋" w:hAnsi="仿宋" w:eastAsia="仿宋" w:cs="仿宋"/>
          <w:kern w:val="0"/>
          <w:sz w:val="28"/>
          <w:szCs w:val="28"/>
        </w:rPr>
        <w:t>服务全院</w:t>
      </w:r>
      <w:r>
        <w:rPr>
          <w:rFonts w:ascii="仿宋" w:hAnsi="仿宋" w:eastAsia="仿宋" w:cs="仿宋"/>
          <w:sz w:val="28"/>
          <w:szCs w:val="28"/>
        </w:rPr>
        <w:t>3</w:t>
      </w:r>
      <w:r>
        <w:rPr>
          <w:rFonts w:ascii="仿宋" w:hAnsi="仿宋" w:eastAsia="仿宋" w:cs="仿宋"/>
          <w:kern w:val="0"/>
          <w:sz w:val="28"/>
          <w:szCs w:val="28"/>
        </w:rPr>
        <w:t>0 多个临床科室。</w:t>
      </w:r>
    </w:p>
    <w:p w14:paraId="3C9B78F5">
      <w:pPr>
        <w:spacing w:line="56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</w:p>
    <w:p w14:paraId="622BB39C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四、培训目标</w:t>
      </w:r>
    </w:p>
    <w:p w14:paraId="0D229BD1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培养具有独立工作能力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ascii="仿宋" w:hAnsi="仿宋" w:eastAsia="仿宋" w:cs="仿宋"/>
          <w:sz w:val="28"/>
          <w:szCs w:val="28"/>
        </w:rPr>
        <w:t>敬业精神和专业责任感，能安全调配肠胃营养液、危害药物等各类输液，能干预不合理医嘱、静脉用药评价、质量控制、医院感染控制、良好地与临床医护人员沟通能力及应急处置能力的药师。</w:t>
      </w:r>
    </w:p>
    <w:p w14:paraId="4A17745A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五、培训方案</w:t>
      </w:r>
    </w:p>
    <w:p w14:paraId="55126420">
      <w:pPr>
        <w:numPr>
          <w:ilvl w:val="0"/>
          <w:numId w:val="1"/>
        </w:num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研修时长</w:t>
      </w:r>
    </w:p>
    <w:p w14:paraId="28629399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3个月。</w:t>
      </w:r>
    </w:p>
    <w:p w14:paraId="66CEA6EE">
      <w:pPr>
        <w:numPr>
          <w:ilvl w:val="0"/>
          <w:numId w:val="1"/>
        </w:num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学习内容/</w:t>
      </w:r>
      <w:r>
        <w:rPr>
          <w:rFonts w:hint="eastAsia" w:ascii="仿宋" w:hAnsi="仿宋" w:eastAsia="仿宋"/>
          <w:sz w:val="32"/>
          <w:szCs w:val="32"/>
        </w:rPr>
        <w:t>课程设置（理论课程+临床实践+技能训练）</w:t>
      </w:r>
    </w:p>
    <w:tbl>
      <w:tblPr>
        <w:tblStyle w:val="17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1192"/>
        <w:gridCol w:w="4394"/>
        <w:gridCol w:w="1276"/>
      </w:tblGrid>
      <w:tr w14:paraId="60320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22" w:type="dxa"/>
            <w:vAlign w:val="center"/>
          </w:tcPr>
          <w:p w14:paraId="3D78C106">
            <w:pPr>
              <w:spacing w:line="56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授课人姓名</w:t>
            </w:r>
          </w:p>
        </w:tc>
        <w:tc>
          <w:tcPr>
            <w:tcW w:w="1192" w:type="dxa"/>
            <w:vAlign w:val="center"/>
          </w:tcPr>
          <w:p w14:paraId="204ED8F5">
            <w:pPr>
              <w:spacing w:line="56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职称</w:t>
            </w:r>
          </w:p>
        </w:tc>
        <w:tc>
          <w:tcPr>
            <w:tcW w:w="4394" w:type="dxa"/>
            <w:vAlign w:val="center"/>
          </w:tcPr>
          <w:p w14:paraId="466C43A9">
            <w:pPr>
              <w:spacing w:line="56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</w:t>
            </w:r>
          </w:p>
        </w:tc>
        <w:tc>
          <w:tcPr>
            <w:tcW w:w="1276" w:type="dxa"/>
            <w:vAlign w:val="center"/>
          </w:tcPr>
          <w:p w14:paraId="5CE68F8A">
            <w:pPr>
              <w:spacing w:line="56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学时数</w:t>
            </w:r>
          </w:p>
        </w:tc>
      </w:tr>
      <w:tr w14:paraId="4BC49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5DD5CA5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21202DBD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37955840">
            <w:pPr>
              <w:widowControl/>
              <w:jc w:val="left"/>
              <w:rPr>
                <w:rFonts w:ascii="宋体" w:hAnsi="宋体" w:eastAsia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入科教育与药学部进修生管理制度讲解</w:t>
            </w:r>
          </w:p>
        </w:tc>
        <w:tc>
          <w:tcPr>
            <w:tcW w:w="1276" w:type="dxa"/>
          </w:tcPr>
          <w:p w14:paraId="5CF6B8DF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77686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628546BD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372EF54D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173CD19A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静配中心概况、工作流程、消防培训</w:t>
            </w:r>
          </w:p>
        </w:tc>
        <w:tc>
          <w:tcPr>
            <w:tcW w:w="1276" w:type="dxa"/>
          </w:tcPr>
          <w:p w14:paraId="40DBC961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bookmarkEnd w:id="0"/>
      <w:tr w14:paraId="4F392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F9736AC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4B54D8F8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69FA6CDB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静配中心团队文化建设与制度培训</w:t>
            </w:r>
          </w:p>
        </w:tc>
        <w:tc>
          <w:tcPr>
            <w:tcW w:w="1276" w:type="dxa"/>
          </w:tcPr>
          <w:p w14:paraId="66CBC739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15AED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1B8CDCA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71E3BFDE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55D244EF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静配中心相关政策文件解读</w:t>
            </w:r>
          </w:p>
        </w:tc>
        <w:tc>
          <w:tcPr>
            <w:tcW w:w="1276" w:type="dxa"/>
          </w:tcPr>
          <w:p w14:paraId="79399E85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2E58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4C634AFE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2BE72759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6A2ECD56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静配中心常用静脉用药速览</w:t>
            </w:r>
          </w:p>
        </w:tc>
        <w:tc>
          <w:tcPr>
            <w:tcW w:w="1276" w:type="dxa"/>
          </w:tcPr>
          <w:p w14:paraId="7469D920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7A2D3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4542BEFA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36199BC3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5145E74C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药品管理基础</w:t>
            </w:r>
          </w:p>
        </w:tc>
        <w:tc>
          <w:tcPr>
            <w:tcW w:w="1276" w:type="dxa"/>
          </w:tcPr>
          <w:p w14:paraId="3EE389BA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25662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07001797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4D8D0E30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33EBA541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静配中心智能化设备操作规程</w:t>
            </w:r>
          </w:p>
        </w:tc>
        <w:tc>
          <w:tcPr>
            <w:tcW w:w="1276" w:type="dxa"/>
          </w:tcPr>
          <w:p w14:paraId="710E3D23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3BAFE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3CA38BB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208ECF66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3959482D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摆药贴签核对标准操作规程</w:t>
            </w:r>
          </w:p>
        </w:tc>
        <w:tc>
          <w:tcPr>
            <w:tcW w:w="1276" w:type="dxa"/>
          </w:tcPr>
          <w:p w14:paraId="4934BD1A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2144B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50EAE85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28994F1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275A41C5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摆药贴签核对技能实践</w:t>
            </w:r>
          </w:p>
        </w:tc>
        <w:tc>
          <w:tcPr>
            <w:tcW w:w="1276" w:type="dxa"/>
          </w:tcPr>
          <w:p w14:paraId="2A067EB6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62952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A58A20C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3FBC341D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34259B80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无菌注射器的正确使用方法</w:t>
            </w:r>
          </w:p>
        </w:tc>
        <w:tc>
          <w:tcPr>
            <w:tcW w:w="1276" w:type="dxa"/>
          </w:tcPr>
          <w:p w14:paraId="65C40B33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02C5F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32021F52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5FA073F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1D89DA37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无菌注射器配置技能实践</w:t>
            </w:r>
          </w:p>
        </w:tc>
        <w:tc>
          <w:tcPr>
            <w:tcW w:w="1276" w:type="dxa"/>
          </w:tcPr>
          <w:p w14:paraId="5B104699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7A5F7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63308ED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6C2D53B6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3A45C043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医用耗材物资管理</w:t>
            </w:r>
          </w:p>
        </w:tc>
        <w:tc>
          <w:tcPr>
            <w:tcW w:w="1276" w:type="dxa"/>
          </w:tcPr>
          <w:p w14:paraId="1DCAA7DA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71485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28FE430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CE91046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4168D87C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普通药品混合调配实践</w:t>
            </w:r>
          </w:p>
        </w:tc>
        <w:tc>
          <w:tcPr>
            <w:tcW w:w="1276" w:type="dxa"/>
          </w:tcPr>
          <w:p w14:paraId="304B893C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35</w:t>
            </w:r>
          </w:p>
        </w:tc>
      </w:tr>
      <w:tr w14:paraId="305A4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6BB8FF5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4AD07CE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251F9545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洁净区清场清洁消毒管理</w:t>
            </w:r>
          </w:p>
        </w:tc>
        <w:tc>
          <w:tcPr>
            <w:tcW w:w="1276" w:type="dxa"/>
          </w:tcPr>
          <w:p w14:paraId="52A71679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4DC83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6B40A70D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7130B18E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54701879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规范肠外营养液配置</w:t>
            </w:r>
          </w:p>
        </w:tc>
        <w:tc>
          <w:tcPr>
            <w:tcW w:w="1276" w:type="dxa"/>
          </w:tcPr>
          <w:p w14:paraId="73036CB6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1D5C3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0DF4BCA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3AA9111A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5C10C4EA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HIS系统与PIVAS管理系统的使用操作</w:t>
            </w:r>
          </w:p>
        </w:tc>
        <w:tc>
          <w:tcPr>
            <w:tcW w:w="1276" w:type="dxa"/>
          </w:tcPr>
          <w:p w14:paraId="35E4AF4A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2C945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4163A983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3740499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497293B4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医嘱审核、批次分配、标签打印管理制度及操作规程</w:t>
            </w:r>
          </w:p>
        </w:tc>
        <w:tc>
          <w:tcPr>
            <w:tcW w:w="1276" w:type="dxa"/>
          </w:tcPr>
          <w:p w14:paraId="360C4BDA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740A1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17B791AD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C5F07B8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549C16C5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肠外营养液混合调配实践</w:t>
            </w:r>
          </w:p>
        </w:tc>
        <w:tc>
          <w:tcPr>
            <w:tcW w:w="1276" w:type="dxa"/>
          </w:tcPr>
          <w:p w14:paraId="3A4653BB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5</w:t>
            </w:r>
          </w:p>
        </w:tc>
      </w:tr>
      <w:tr w14:paraId="28E95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1AA3185B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6550CD8C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2DEAB7CF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普通药品与肠外营养液混合调配实践</w:t>
            </w:r>
          </w:p>
        </w:tc>
        <w:tc>
          <w:tcPr>
            <w:tcW w:w="1276" w:type="dxa"/>
          </w:tcPr>
          <w:p w14:paraId="4E749134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5</w:t>
            </w:r>
          </w:p>
        </w:tc>
      </w:tr>
      <w:tr w14:paraId="40379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132BCA17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6ECD2882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344F8F2C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洁净区环境监测培训</w:t>
            </w:r>
          </w:p>
        </w:tc>
        <w:tc>
          <w:tcPr>
            <w:tcW w:w="1276" w:type="dxa"/>
          </w:tcPr>
          <w:p w14:paraId="405A9938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33516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465BC50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59FDF34D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7BE86539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设施设备管理</w:t>
            </w:r>
          </w:p>
        </w:tc>
        <w:tc>
          <w:tcPr>
            <w:tcW w:w="1276" w:type="dxa"/>
          </w:tcPr>
          <w:p w14:paraId="30D07636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6C8B1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90453C4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73D75BB2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1709DD86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抗感染药物混合调配实践</w:t>
            </w:r>
          </w:p>
        </w:tc>
        <w:tc>
          <w:tcPr>
            <w:tcW w:w="1276" w:type="dxa"/>
          </w:tcPr>
          <w:p w14:paraId="426D09F4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5</w:t>
            </w:r>
          </w:p>
        </w:tc>
      </w:tr>
      <w:tr w14:paraId="252CA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1400B81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35F00869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17B422A9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紫外灯监测与管理培训</w:t>
            </w:r>
          </w:p>
        </w:tc>
        <w:tc>
          <w:tcPr>
            <w:tcW w:w="1276" w:type="dxa"/>
          </w:tcPr>
          <w:p w14:paraId="148E7D4D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2</w:t>
            </w:r>
          </w:p>
        </w:tc>
      </w:tr>
      <w:tr w14:paraId="11D43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3D80890B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23EA6206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56D7E013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静配中心手卫生管理</w:t>
            </w:r>
          </w:p>
        </w:tc>
        <w:tc>
          <w:tcPr>
            <w:tcW w:w="1276" w:type="dxa"/>
          </w:tcPr>
          <w:p w14:paraId="0419377C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0DC9D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66BF3F3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3268AFEC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6CAD1B3F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静配中心医疗废物分类</w:t>
            </w:r>
          </w:p>
        </w:tc>
        <w:tc>
          <w:tcPr>
            <w:tcW w:w="1276" w:type="dxa"/>
          </w:tcPr>
          <w:p w14:paraId="43DFF804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1B475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185BD967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BA5408D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596540E4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医嘱审核、批次分配、标签打印技能实践</w:t>
            </w:r>
          </w:p>
        </w:tc>
        <w:tc>
          <w:tcPr>
            <w:tcW w:w="1276" w:type="dxa"/>
          </w:tcPr>
          <w:p w14:paraId="6B1D6A9B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5</w:t>
            </w:r>
          </w:p>
        </w:tc>
      </w:tr>
      <w:tr w14:paraId="4530E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3FA81B4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51036CB9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75DD7A73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静脉用药混合调配实践</w:t>
            </w:r>
          </w:p>
        </w:tc>
        <w:tc>
          <w:tcPr>
            <w:tcW w:w="1276" w:type="dxa"/>
          </w:tcPr>
          <w:p w14:paraId="066D68AC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5</w:t>
            </w:r>
          </w:p>
        </w:tc>
      </w:tr>
      <w:tr w14:paraId="7D8E4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9075CA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07A3AB5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1FCD304F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抗肿瘤药物在PIVAS的调配管理</w:t>
            </w:r>
          </w:p>
        </w:tc>
        <w:tc>
          <w:tcPr>
            <w:tcW w:w="1276" w:type="dxa"/>
          </w:tcPr>
          <w:p w14:paraId="6DB52E09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7DFA0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21D68594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3294D348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00326D55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抗肿瘤药物混合调配实践</w:t>
            </w:r>
          </w:p>
        </w:tc>
        <w:tc>
          <w:tcPr>
            <w:tcW w:w="1276" w:type="dxa"/>
          </w:tcPr>
          <w:p w14:paraId="12043D9C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5</w:t>
            </w:r>
          </w:p>
        </w:tc>
      </w:tr>
      <w:tr w14:paraId="7F13C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09C8895F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92F7CBE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0F66A190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静脉用药医嘱审核概述</w:t>
            </w:r>
          </w:p>
        </w:tc>
        <w:tc>
          <w:tcPr>
            <w:tcW w:w="1276" w:type="dxa"/>
          </w:tcPr>
          <w:p w14:paraId="5DE46DFA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27BD2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ED6F50F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138580D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348D7EE5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常用静脉用药溶媒审核要点</w:t>
            </w:r>
          </w:p>
        </w:tc>
        <w:tc>
          <w:tcPr>
            <w:tcW w:w="1276" w:type="dxa"/>
          </w:tcPr>
          <w:p w14:paraId="70A76846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2</w:t>
            </w:r>
          </w:p>
        </w:tc>
      </w:tr>
      <w:tr w14:paraId="239B3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4C695D0B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758F0E9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6A42C452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无菌物品管理&amp;消毒剂效期管理</w:t>
            </w:r>
          </w:p>
        </w:tc>
        <w:tc>
          <w:tcPr>
            <w:tcW w:w="1276" w:type="dxa"/>
          </w:tcPr>
          <w:p w14:paraId="634C577D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</w:t>
            </w:r>
          </w:p>
        </w:tc>
      </w:tr>
      <w:tr w14:paraId="4F267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588127F7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3528DA79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07A3454B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处方审核制度与流程</w:t>
            </w:r>
          </w:p>
        </w:tc>
        <w:tc>
          <w:tcPr>
            <w:tcW w:w="1276" w:type="dxa"/>
          </w:tcPr>
          <w:p w14:paraId="65D7EB4E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3FFC3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F37448C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8D54395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1A6355C0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处方点评制度与流程</w:t>
            </w:r>
          </w:p>
        </w:tc>
        <w:tc>
          <w:tcPr>
            <w:tcW w:w="1276" w:type="dxa"/>
          </w:tcPr>
          <w:p w14:paraId="24FA9E3F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57313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08B18615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5C5B1918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07FC5BD6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常见处方问题类型相关知识学习</w:t>
            </w:r>
          </w:p>
        </w:tc>
        <w:tc>
          <w:tcPr>
            <w:tcW w:w="1276" w:type="dxa"/>
          </w:tcPr>
          <w:p w14:paraId="2D4B5650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22100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08EF8BE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CC3F3F0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3E6F6683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处方前置审核实操、处方点评实操、出科考核</w:t>
            </w:r>
          </w:p>
        </w:tc>
        <w:tc>
          <w:tcPr>
            <w:tcW w:w="1276" w:type="dxa"/>
          </w:tcPr>
          <w:p w14:paraId="67BF2A60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452A7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62EBB71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98AE60D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1C7CC85C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静配中心不合理医嘱干预分析</w:t>
            </w:r>
          </w:p>
        </w:tc>
        <w:tc>
          <w:tcPr>
            <w:tcW w:w="1276" w:type="dxa"/>
          </w:tcPr>
          <w:p w14:paraId="413944B3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1</w:t>
            </w:r>
          </w:p>
        </w:tc>
      </w:tr>
      <w:tr w14:paraId="6059F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1557780A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42FF8F76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5C386CCF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静脉用药给药速度与管控</w:t>
            </w:r>
          </w:p>
        </w:tc>
        <w:tc>
          <w:tcPr>
            <w:tcW w:w="1276" w:type="dxa"/>
          </w:tcPr>
          <w:p w14:paraId="10E3AF91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0ABB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39E5AE24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A246670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55DD7BBD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静配中心应急预案（药品断供应急处理）</w:t>
            </w:r>
          </w:p>
        </w:tc>
        <w:tc>
          <w:tcPr>
            <w:tcW w:w="1276" w:type="dxa"/>
          </w:tcPr>
          <w:p w14:paraId="7DB5B9A8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29D7C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2E29944D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40FA2E1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41340A9F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细胞毒性药品溢出处理培训</w:t>
            </w:r>
          </w:p>
        </w:tc>
        <w:tc>
          <w:tcPr>
            <w:tcW w:w="1276" w:type="dxa"/>
          </w:tcPr>
          <w:p w14:paraId="6CB75222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1CC61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08E0D6D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2325AB8D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5222BD1E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细胞毒性药品溢出处理实践</w:t>
            </w:r>
          </w:p>
        </w:tc>
        <w:tc>
          <w:tcPr>
            <w:tcW w:w="1276" w:type="dxa"/>
          </w:tcPr>
          <w:p w14:paraId="6E6AEFE0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2</w:t>
            </w:r>
          </w:p>
        </w:tc>
      </w:tr>
      <w:tr w14:paraId="121E2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1E55B627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3D1655E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7A873A55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洁净区环境监测实践</w:t>
            </w:r>
          </w:p>
        </w:tc>
        <w:tc>
          <w:tcPr>
            <w:tcW w:w="1276" w:type="dxa"/>
          </w:tcPr>
          <w:p w14:paraId="3B036AD8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16567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2CE4270E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5D983933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276428E7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消毒剂监测培训与实践</w:t>
            </w:r>
          </w:p>
        </w:tc>
        <w:tc>
          <w:tcPr>
            <w:tcW w:w="1276" w:type="dxa"/>
          </w:tcPr>
          <w:p w14:paraId="38B6A361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4CE22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0DE9722B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64C74E5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7CA66C11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肠外营养液医嘱审核要点</w:t>
            </w:r>
          </w:p>
        </w:tc>
        <w:tc>
          <w:tcPr>
            <w:tcW w:w="1276" w:type="dxa"/>
          </w:tcPr>
          <w:p w14:paraId="1D875C46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43524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06CC4DDF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394F243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03F24782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成品输液复核标准操作规程及注意事项</w:t>
            </w:r>
          </w:p>
        </w:tc>
        <w:tc>
          <w:tcPr>
            <w:tcW w:w="1276" w:type="dxa"/>
          </w:tcPr>
          <w:p w14:paraId="1208FB15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14C09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65B23C02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6F1C50A4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50166256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静脉输液的配伍稳定性与配伍禁忌</w:t>
            </w:r>
          </w:p>
        </w:tc>
        <w:tc>
          <w:tcPr>
            <w:tcW w:w="1276" w:type="dxa"/>
          </w:tcPr>
          <w:p w14:paraId="6D994082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2</w:t>
            </w:r>
          </w:p>
        </w:tc>
      </w:tr>
      <w:tr w14:paraId="4C937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5DE8E595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086E700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5FF8A989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成品输液复核与包装配送实践</w:t>
            </w:r>
          </w:p>
        </w:tc>
        <w:tc>
          <w:tcPr>
            <w:tcW w:w="1276" w:type="dxa"/>
          </w:tcPr>
          <w:p w14:paraId="5AEDBCFE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  <w:r>
              <w:rPr>
                <w:rFonts w:ascii="宋体" w:hAnsi="宋体" w:eastAsia="宋体"/>
                <w:szCs w:val="21"/>
              </w:rPr>
              <w:t>5</w:t>
            </w:r>
          </w:p>
        </w:tc>
      </w:tr>
      <w:tr w14:paraId="7910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512D3BC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2753E882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6C2ED1DA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静配中心不合理医嘱干预点评分析与改进</w:t>
            </w:r>
          </w:p>
        </w:tc>
        <w:tc>
          <w:tcPr>
            <w:tcW w:w="1276" w:type="dxa"/>
          </w:tcPr>
          <w:p w14:paraId="2D2A2F75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289BC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334FFC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2F4364F8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1BDE696F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抗肿瘤药物医嘱审核与干预</w:t>
            </w:r>
          </w:p>
        </w:tc>
        <w:tc>
          <w:tcPr>
            <w:tcW w:w="1276" w:type="dxa"/>
          </w:tcPr>
          <w:p w14:paraId="67F76C5D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12EE5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5A66EBF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5708B468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674937EC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抗肿瘤药物临床应用安全性、有效性、经济性、适宜性评价实践教学</w:t>
            </w:r>
          </w:p>
        </w:tc>
        <w:tc>
          <w:tcPr>
            <w:tcW w:w="1276" w:type="dxa"/>
          </w:tcPr>
          <w:p w14:paraId="23CB9081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20D6C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4D35792B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443E5D99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66F9BA5D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常用抗肿瘤药物相关知识培训</w:t>
            </w:r>
          </w:p>
        </w:tc>
        <w:tc>
          <w:tcPr>
            <w:tcW w:w="1276" w:type="dxa"/>
          </w:tcPr>
          <w:p w14:paraId="0E951903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4AA36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77F59E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30FC6C09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061C766B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常用药学相关资料与临床指南的检索方法</w:t>
            </w:r>
          </w:p>
        </w:tc>
        <w:tc>
          <w:tcPr>
            <w:tcW w:w="1276" w:type="dxa"/>
          </w:tcPr>
          <w:p w14:paraId="53B8DDB4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6867E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183947E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7127A3F1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主管药师</w:t>
            </w:r>
          </w:p>
        </w:tc>
        <w:tc>
          <w:tcPr>
            <w:tcW w:w="4394" w:type="dxa"/>
            <w:vAlign w:val="center"/>
          </w:tcPr>
          <w:p w14:paraId="742E17D9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外购抗肿瘤药物在医疗机构的管理实践探讨</w:t>
            </w:r>
          </w:p>
        </w:tc>
        <w:tc>
          <w:tcPr>
            <w:tcW w:w="1276" w:type="dxa"/>
          </w:tcPr>
          <w:p w14:paraId="117D6C2D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5CA6E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629F7293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26B5BF41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66159730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药品不良反应的预防、识别以及处理方法</w:t>
            </w:r>
          </w:p>
        </w:tc>
        <w:tc>
          <w:tcPr>
            <w:tcW w:w="1276" w:type="dxa"/>
          </w:tcPr>
          <w:p w14:paraId="7E96FAE8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0F26F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4E38E9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003349D4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73D7EFA2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肠外营养医嘱审核与干预</w:t>
            </w:r>
          </w:p>
        </w:tc>
        <w:tc>
          <w:tcPr>
            <w:tcW w:w="1276" w:type="dxa"/>
          </w:tcPr>
          <w:p w14:paraId="11F27216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6FB0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6B499114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11976B0B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095E0169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肠外营养临床应用安全性、有效性、经济性、适宜性评价实践教学</w:t>
            </w:r>
          </w:p>
        </w:tc>
        <w:tc>
          <w:tcPr>
            <w:tcW w:w="1276" w:type="dxa"/>
          </w:tcPr>
          <w:p w14:paraId="49A26A4B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124CE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2BBF81BB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26CFCD16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058F3E3B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肠外营养制剂特点</w:t>
            </w:r>
          </w:p>
        </w:tc>
        <w:tc>
          <w:tcPr>
            <w:tcW w:w="1276" w:type="dxa"/>
          </w:tcPr>
          <w:p w14:paraId="23F3789D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2698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30BCD1D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542CF01D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0CF112F7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肠外营养处方设计</w:t>
            </w:r>
          </w:p>
        </w:tc>
        <w:tc>
          <w:tcPr>
            <w:tcW w:w="1276" w:type="dxa"/>
          </w:tcPr>
          <w:p w14:paraId="1193E305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  <w:tr w14:paraId="57C4D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759E9B68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6E8886B8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41809F06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肠外营养相关并发症的识别与处理</w:t>
            </w:r>
          </w:p>
        </w:tc>
        <w:tc>
          <w:tcPr>
            <w:tcW w:w="1276" w:type="dxa"/>
          </w:tcPr>
          <w:p w14:paraId="2F657B30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</w:tr>
      <w:tr w14:paraId="018F1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445A38BF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4BF9F837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54ED7F73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抗感染药物医嘱审核与干预</w:t>
            </w:r>
          </w:p>
        </w:tc>
        <w:tc>
          <w:tcPr>
            <w:tcW w:w="1276" w:type="dxa"/>
          </w:tcPr>
          <w:p w14:paraId="62473C63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2</w:t>
            </w:r>
          </w:p>
        </w:tc>
      </w:tr>
      <w:tr w14:paraId="2C172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233A02C4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206C3ACF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4E692612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抗感染药物临床应用安全性、有效性、经济性、适宜性评价实践教学</w:t>
            </w:r>
          </w:p>
        </w:tc>
        <w:tc>
          <w:tcPr>
            <w:tcW w:w="1276" w:type="dxa"/>
          </w:tcPr>
          <w:p w14:paraId="6EEEE208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2</w:t>
            </w:r>
          </w:p>
        </w:tc>
      </w:tr>
      <w:tr w14:paraId="175D6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Align w:val="center"/>
          </w:tcPr>
          <w:p w14:paraId="14141514">
            <w:pPr>
              <w:jc w:val="center"/>
              <w:rPr>
                <w:b/>
                <w:bCs/>
                <w:color w:val="000000"/>
              </w:rPr>
            </w:pPr>
            <w:bookmarkStart w:id="1" w:name="_GoBack" w:colFirst="0" w:colLast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资深静配药师</w:t>
            </w:r>
          </w:p>
        </w:tc>
        <w:tc>
          <w:tcPr>
            <w:tcW w:w="1192" w:type="dxa"/>
            <w:vAlign w:val="center"/>
          </w:tcPr>
          <w:p w14:paraId="795220A3">
            <w:pPr>
              <w:jc w:val="center"/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药师</w:t>
            </w:r>
          </w:p>
        </w:tc>
        <w:tc>
          <w:tcPr>
            <w:tcW w:w="4394" w:type="dxa"/>
            <w:vAlign w:val="center"/>
          </w:tcPr>
          <w:p w14:paraId="713F968F">
            <w:pPr>
              <w:rPr>
                <w:rFonts w:ascii="宋体" w:hAnsi="宋体" w:eastAsia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1"/>
              </w:rPr>
              <w:t>抗感染药物临床应用要点理论培训</w:t>
            </w:r>
          </w:p>
        </w:tc>
        <w:tc>
          <w:tcPr>
            <w:tcW w:w="1276" w:type="dxa"/>
          </w:tcPr>
          <w:p w14:paraId="4DAA6951">
            <w:pPr>
              <w:spacing w:line="56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</w:tr>
    </w:tbl>
    <w:p w14:paraId="55C7AAFC">
      <w:pPr>
        <w:numPr>
          <w:ilvl w:val="0"/>
          <w:numId w:val="1"/>
        </w:num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带教方法</w:t>
      </w:r>
    </w:p>
    <w:p w14:paraId="460CCCF8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根据学员特点和进修目标，制定了专属培训方案。采用“1+1+1”导师制（静配骨干药师—审方专职药师—专科临床药师），为学员定制学习路径。学员将所学的理论知识用于实践操作，通过实践操作和考核来检验并提升自身的PIVAS技能水平。</w:t>
      </w:r>
    </w:p>
    <w:p w14:paraId="23D82AF8">
      <w:pPr>
        <w:numPr>
          <w:ilvl w:val="0"/>
          <w:numId w:val="1"/>
        </w:num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培训效果</w:t>
      </w:r>
    </w:p>
    <w:p w14:paraId="406F7A94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在学习过程中，学员通过参与专题讲座、跟班学习、开展独立实操等多种方式，不仅将理论知识内化于心，更将其外化于实际行动中。全程参加培训并通过考核将获得中国医药教育协会颁发的结业证书。</w:t>
      </w:r>
    </w:p>
    <w:p w14:paraId="44128FB6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六、考核方案</w:t>
      </w:r>
    </w:p>
    <w:p w14:paraId="3404BFCC"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" w:hAnsi="仿宋" w:eastAsia="仿宋" w:cs="仿宋"/>
          <w:sz w:val="28"/>
          <w:szCs w:val="28"/>
        </w:rPr>
        <w:t>培训考核分为理论和实践两部分。理论考核包括非整药品调配计算、TPN处方成分计算、PIVAS与药学专业知识等；实践考核主要包括危害药品、肠外营养等特殊药品调配技能、医嘱审核技能、成品输液核对操作、全流程信息系统操作、危害药品溢出应急处理、眼暴露及刺伤应急处置、突发情况应急处置等。</w:t>
      </w:r>
    </w:p>
    <w:p w14:paraId="6DB35A46">
      <w:pPr>
        <w:spacing w:line="560" w:lineRule="exact"/>
        <w:ind w:firstLine="420"/>
        <w:rPr>
          <w:rFonts w:ascii="黑体" w:hAnsi="黑体" w:eastAsia="黑体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94A27D-517C-4D7E-B6F5-53A64E110A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1BB9C3B-FA7D-405C-8064-090EEEDB2F6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4FC56EE-855B-4DA7-AAC4-C75A0D7E5755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4" w:fontKey="{698B8344-9F74-4E16-BBDC-F309EBE6C84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4408352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29813FEB">
            <w:pPr>
              <w:pStyle w:val="11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FC999D">
    <w:pPr>
      <w:pStyle w:val="11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3086C0"/>
    <w:multiLevelType w:val="singleLevel"/>
    <w:tmpl w:val="EA3086C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00"/>
    <w:rsid w:val="00096FA6"/>
    <w:rsid w:val="000A4D74"/>
    <w:rsid w:val="000C3EDD"/>
    <w:rsid w:val="001637C0"/>
    <w:rsid w:val="002430C9"/>
    <w:rsid w:val="002D7C28"/>
    <w:rsid w:val="00320A93"/>
    <w:rsid w:val="003630EB"/>
    <w:rsid w:val="003F79ED"/>
    <w:rsid w:val="00470729"/>
    <w:rsid w:val="004C6A77"/>
    <w:rsid w:val="00566895"/>
    <w:rsid w:val="007231A3"/>
    <w:rsid w:val="00724BF5"/>
    <w:rsid w:val="007F2B24"/>
    <w:rsid w:val="00832A51"/>
    <w:rsid w:val="008625DC"/>
    <w:rsid w:val="009109C8"/>
    <w:rsid w:val="009C3A7C"/>
    <w:rsid w:val="00A77AB5"/>
    <w:rsid w:val="00AB623C"/>
    <w:rsid w:val="00B76196"/>
    <w:rsid w:val="00BB3044"/>
    <w:rsid w:val="00BC36E1"/>
    <w:rsid w:val="00BC5E72"/>
    <w:rsid w:val="00BF70D6"/>
    <w:rsid w:val="00C16BA9"/>
    <w:rsid w:val="00CE0577"/>
    <w:rsid w:val="00D42EE0"/>
    <w:rsid w:val="00DE55B1"/>
    <w:rsid w:val="00E00000"/>
    <w:rsid w:val="00E1196A"/>
    <w:rsid w:val="00EA5AFF"/>
    <w:rsid w:val="00F46248"/>
    <w:rsid w:val="00FB1534"/>
    <w:rsid w:val="00FD3FAD"/>
    <w:rsid w:val="0D4728C2"/>
    <w:rsid w:val="0FFB6786"/>
    <w:rsid w:val="1A805C3C"/>
    <w:rsid w:val="1DCA10D2"/>
    <w:rsid w:val="1F8B46C3"/>
    <w:rsid w:val="24A97F4B"/>
    <w:rsid w:val="30BC0F82"/>
    <w:rsid w:val="31862029"/>
    <w:rsid w:val="385A6D6A"/>
    <w:rsid w:val="38B844F1"/>
    <w:rsid w:val="3E2A3257"/>
    <w:rsid w:val="43003492"/>
    <w:rsid w:val="455C4456"/>
    <w:rsid w:val="47F746F7"/>
    <w:rsid w:val="51BE02C1"/>
    <w:rsid w:val="55756D88"/>
    <w:rsid w:val="591B2E50"/>
    <w:rsid w:val="618463A2"/>
    <w:rsid w:val="674C3ED2"/>
    <w:rsid w:val="6C191B89"/>
    <w:rsid w:val="6F5558EE"/>
    <w:rsid w:val="72B80173"/>
    <w:rsid w:val="72D336FA"/>
    <w:rsid w:val="773B29AF"/>
    <w:rsid w:val="778E7BEF"/>
    <w:rsid w:val="7A92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Char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Char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Char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Char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Char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Char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Char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Char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Char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Char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Char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Char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Char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Char"/>
    <w:basedOn w:val="18"/>
    <w:link w:val="12"/>
    <w:qFormat/>
    <w:uiPriority w:val="99"/>
    <w:rPr>
      <w:sz w:val="18"/>
      <w:szCs w:val="18"/>
    </w:rPr>
  </w:style>
  <w:style w:type="character" w:customStyle="1" w:styleId="38">
    <w:name w:val="页脚 Char"/>
    <w:basedOn w:val="18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819</Words>
  <Characters>844</Characters>
  <Lines>18</Lines>
  <Paragraphs>5</Paragraphs>
  <TotalTime>0</TotalTime>
  <ScaleCrop>false</ScaleCrop>
  <LinksUpToDate>false</LinksUpToDate>
  <CharactersWithSpaces>845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2025-02-08T14:35:00Z</dcterms:created>
  <dc:creator>guo xiaoran</dc:creator>
  <cp:lastModifiedBy>林健</cp:lastModifiedBy>
  <dcterms:modified xsi:type="dcterms:W3CDTF">2026-07-23T01:36:19Z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eyJoZGlkIjoiOWY0MGE1ZWU3OGYyYmUxMzYwYzk2NmIyM2MwNjQxYjkiLCJ1c2VySWQiOiI0MDUxMDEwMDQifQ==</vt:lpwstr>
  </property>
  <property fmtid="{D5CDD505-2E9C-101B-9397-08002B2CF9AE}" pid="3" name="KSOProductBuildVer">
    <vt:lpwstr>2052-12.1.0.26375</vt:lpwstr>
  </property>
  <property fmtid="{D5CDD505-2E9C-101B-9397-08002B2CF9AE}" pid="4" name="ICV">
    <vt:lpwstr>62A26FD05C1E4F68BE54790EB29B0A4C_13</vt:lpwstr>
  </property>
</Properties>
</file>