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FDFAA">
      <w:pPr>
        <w:spacing w:line="580" w:lineRule="exact"/>
        <w:jc w:val="center"/>
        <w:rPr>
          <w:rFonts w:ascii="Times New Roman" w:hAnsi="Times New Roman" w:eastAsia="楷体"/>
          <w:b/>
          <w:color w:val="auto"/>
          <w:sz w:val="44"/>
          <w:szCs w:val="44"/>
          <w:highlight w:val="none"/>
        </w:rPr>
      </w:pPr>
      <w:bookmarkStart w:id="0" w:name="_GoBack"/>
      <w:bookmarkEnd w:id="0"/>
      <w:r>
        <w:rPr>
          <w:rFonts w:hint="eastAsia" w:ascii="Times New Roman" w:hAnsi="Times New Roman" w:eastAsia="楷体"/>
          <w:b/>
          <w:color w:val="auto"/>
          <w:sz w:val="44"/>
          <w:szCs w:val="44"/>
          <w:highlight w:val="none"/>
        </w:rPr>
        <w:t>中山大学附属第七医院</w:t>
      </w:r>
    </w:p>
    <w:p w14:paraId="05509613">
      <w:pPr>
        <w:spacing w:line="580" w:lineRule="exact"/>
        <w:jc w:val="center"/>
        <w:rPr>
          <w:rFonts w:ascii="Times New Roman" w:hAnsi="Times New Roman" w:eastAsia="楷体"/>
          <w:b/>
          <w:bCs/>
          <w:color w:val="auto"/>
          <w:highlight w:val="none"/>
        </w:rPr>
      </w:pPr>
      <w:r>
        <w:rPr>
          <w:rFonts w:hint="eastAsia" w:ascii="Times New Roman" w:hAnsi="Times New Roman" w:eastAsia="楷体"/>
          <w:b/>
          <w:color w:val="auto"/>
          <w:sz w:val="44"/>
          <w:szCs w:val="44"/>
          <w:highlight w:val="none"/>
        </w:rPr>
        <w:t>2026年烧伤整形科技术研修班培训方案</w:t>
      </w:r>
    </w:p>
    <w:p w14:paraId="21DFD69D">
      <w:pPr>
        <w:rPr>
          <w:rFonts w:ascii="Times New Roman" w:hAnsi="Times New Roman" w:eastAsia="楷体"/>
          <w:b/>
          <w:bCs/>
          <w:color w:val="auto"/>
          <w:highlight w:val="none"/>
        </w:rPr>
      </w:pPr>
    </w:p>
    <w:p w14:paraId="5BF26BBB">
      <w:pPr>
        <w:spacing w:line="560" w:lineRule="exact"/>
        <w:rPr>
          <w:rFonts w:ascii="Times New Roman" w:hAnsi="Times New Roman" w:eastAsia="楷体"/>
          <w:b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楷体"/>
          <w:b/>
          <w:color w:val="auto"/>
          <w:sz w:val="32"/>
          <w:szCs w:val="32"/>
          <w:highlight w:val="none"/>
        </w:rPr>
        <w:t>一、</w:t>
      </w:r>
      <w:r>
        <w:rPr>
          <w:rFonts w:hint="eastAsia" w:ascii="Times New Roman" w:hAnsi="Times New Roman" w:eastAsia="楷体"/>
          <w:b/>
          <w:color w:val="auto"/>
          <w:sz w:val="32"/>
          <w:szCs w:val="32"/>
          <w:highlight w:val="none"/>
        </w:rPr>
        <w:t>专科介绍（500字以内）</w:t>
      </w:r>
    </w:p>
    <w:p w14:paraId="75C5109C">
      <w:pPr>
        <w:spacing w:line="560" w:lineRule="exact"/>
        <w:ind w:firstLine="640" w:firstLineChars="200"/>
        <w:rPr>
          <w:rFonts w:ascii="Times New Roman" w:hAnsi="Times New Roman" w:eastAsia="楷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中山大学附属第七医院烧伤整形科成立于2023年，集医疗、教学、科研于一体的临床专科。</w:t>
      </w:r>
    </w:p>
    <w:p w14:paraId="5B1E0CC7">
      <w:pPr>
        <w:spacing w:line="560" w:lineRule="exact"/>
        <w:ind w:firstLine="641" w:firstLineChars="200"/>
        <w:rPr>
          <w:rFonts w:ascii="Times New Roman" w:hAnsi="Times New Roman" w:eastAsia="楷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b/>
          <w:color w:val="auto"/>
          <w:sz w:val="32"/>
          <w:szCs w:val="32"/>
          <w:highlight w:val="none"/>
        </w:rPr>
        <w:t>医疗方面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：现开放床位10张，年住院门诊手术量超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00台次。常规开展烧伤、急慢性创面、整形、及各类美容手术。配备悬浮床、超脉冲二氧化碳点阵激光、强脉冲光等设备。</w:t>
      </w:r>
      <w:r>
        <w:rPr>
          <w:rFonts w:ascii="Times New Roman" w:hAnsi="Times New Roman" w:eastAsia="楷体"/>
          <w:color w:val="auto"/>
          <w:sz w:val="32"/>
          <w:szCs w:val="32"/>
          <w:highlight w:val="none"/>
        </w:rPr>
        <w:t xml:space="preserve"> </w:t>
      </w:r>
    </w:p>
    <w:p w14:paraId="7AAED907">
      <w:pPr>
        <w:spacing w:line="560" w:lineRule="exact"/>
        <w:ind w:firstLine="641" w:firstLineChars="200"/>
        <w:rPr>
          <w:rFonts w:ascii="Times New Roman" w:hAnsi="Times New Roman" w:eastAsia="楷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b/>
          <w:color w:val="auto"/>
          <w:sz w:val="32"/>
          <w:szCs w:val="32"/>
          <w:highlight w:val="none"/>
        </w:rPr>
        <w:t>教学方面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：我科为博士、硕士学位授予点，拥有博硕士导师团队及结构完善的人才梯队。坚持以学员成长成才为导向，注重临床手术操作能力的培养。针对进修人员制定个性化轮转培训方案，通过理论授课、教学查房、手术观摩/实操等多元化教学形式，帮助学员系统掌握本专业关键技术。</w:t>
      </w:r>
    </w:p>
    <w:p w14:paraId="345A2EF1">
      <w:pPr>
        <w:spacing w:line="560" w:lineRule="exact"/>
        <w:ind w:firstLine="641" w:firstLineChars="200"/>
        <w:rPr>
          <w:rFonts w:ascii="Times New Roman" w:hAnsi="Times New Roman" w:eastAsia="楷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b/>
          <w:color w:val="auto"/>
          <w:sz w:val="32"/>
          <w:szCs w:val="32"/>
          <w:highlight w:val="none"/>
        </w:rPr>
        <w:t>科研方面：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科室有独立的实验平台，在皮肤及其附属器发育和再生、创面修复、干细胞等领域承担多项国家级及省部级课题。</w:t>
      </w:r>
    </w:p>
    <w:p w14:paraId="6E4CA86D">
      <w:pPr>
        <w:spacing w:line="560" w:lineRule="exact"/>
        <w:ind w:firstLine="641" w:firstLineChars="200"/>
        <w:rPr>
          <w:rFonts w:ascii="Times New Roman" w:hAnsi="Times New Roman" w:eastAsia="楷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b/>
          <w:color w:val="auto"/>
          <w:sz w:val="32"/>
          <w:szCs w:val="32"/>
          <w:highlight w:val="none"/>
        </w:rPr>
        <w:t>管理方面：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科室实行规范化医疗质量管理，建立了完善的诊疗规范与质量标准。科室始终秉持医教研管协同发展的理念，致力于为进修人员提供高水平的学术平台与成长空间。</w:t>
      </w:r>
    </w:p>
    <w:p w14:paraId="2EBA9B9C">
      <w:pPr>
        <w:spacing w:line="560" w:lineRule="exact"/>
        <w:rPr>
          <w:rFonts w:ascii="Times New Roman" w:hAnsi="Times New Roman" w:eastAsia="楷体"/>
          <w:b/>
          <w:color w:val="auto"/>
          <w:sz w:val="32"/>
          <w:szCs w:val="32"/>
          <w:highlight w:val="none"/>
        </w:rPr>
      </w:pPr>
    </w:p>
    <w:p w14:paraId="4263CC35">
      <w:pPr>
        <w:spacing w:line="560" w:lineRule="exact"/>
        <w:rPr>
          <w:rFonts w:ascii="Times New Roman" w:hAnsi="Times New Roman" w:eastAsia="楷体"/>
          <w:b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楷体"/>
          <w:b/>
          <w:color w:val="auto"/>
          <w:sz w:val="32"/>
          <w:szCs w:val="32"/>
          <w:highlight w:val="none"/>
        </w:rPr>
        <w:t>二、</w:t>
      </w:r>
      <w:r>
        <w:rPr>
          <w:rFonts w:hint="eastAsia" w:ascii="Times New Roman" w:hAnsi="Times New Roman" w:eastAsia="楷体"/>
          <w:b/>
          <w:color w:val="auto"/>
          <w:sz w:val="32"/>
          <w:szCs w:val="32"/>
          <w:highlight w:val="none"/>
        </w:rPr>
        <w:t>项目特色</w:t>
      </w:r>
    </w:p>
    <w:p w14:paraId="630AF4A5">
      <w:pPr>
        <w:spacing w:line="560" w:lineRule="exact"/>
        <w:ind w:firstLine="640" w:firstLineChars="200"/>
        <w:rPr>
          <w:rFonts w:ascii="Times New Roman" w:hAnsi="Times New Roman" w:eastAsia="楷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实行“一对一”导师全程负责，从术前评估、手术设计到术中操作、术后管理，导师在手术台上逐步骤示教，确保学员掌握关键操作要领。</w:t>
      </w:r>
    </w:p>
    <w:p w14:paraId="27CCE845">
      <w:pPr>
        <w:spacing w:line="560" w:lineRule="exact"/>
        <w:ind w:firstLine="641" w:firstLineChars="200"/>
        <w:rPr>
          <w:rFonts w:ascii="Times New Roman" w:hAnsi="Times New Roman" w:eastAsia="楷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b/>
          <w:color w:val="auto"/>
          <w:sz w:val="32"/>
          <w:szCs w:val="32"/>
          <w:highlight w:val="none"/>
        </w:rPr>
        <w:t>系统化特色课程模块：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开设“烧伤重症救治”“瘢痕全程综合管理”“复杂创面修复”“整形美容外科技术”四大核心模块，每周安排专题讲座、疑难病例讨论，帮助学员快速掌握本学科技术。</w:t>
      </w:r>
    </w:p>
    <w:p w14:paraId="68544D16">
      <w:pPr>
        <w:spacing w:line="560" w:lineRule="exact"/>
        <w:ind w:firstLine="641" w:firstLineChars="200"/>
        <w:rPr>
          <w:rFonts w:ascii="Times New Roman" w:hAnsi="Times New Roman" w:eastAsia="楷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b/>
          <w:color w:val="auto"/>
          <w:sz w:val="32"/>
          <w:szCs w:val="32"/>
          <w:highlight w:val="none"/>
        </w:rPr>
        <w:t>充足手术实践与病种资源：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年手术量超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val="en-US" w:eastAsia="zh-CN"/>
        </w:rPr>
        <w:t>500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台次，病种覆盖烧伤、急慢性创面、整形、及美容外科。进修学员可全程参与手术，并在导师指导下逐步独立完成部分术式，切实提升临床决策和操作水平。</w:t>
      </w:r>
    </w:p>
    <w:p w14:paraId="7B4ECB2B">
      <w:pPr>
        <w:spacing w:line="560" w:lineRule="exact"/>
        <w:ind w:firstLine="641" w:firstLineChars="200"/>
        <w:rPr>
          <w:rFonts w:ascii="Times New Roman" w:hAnsi="Times New Roman" w:eastAsia="楷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b/>
          <w:color w:val="auto"/>
          <w:sz w:val="32"/>
          <w:szCs w:val="32"/>
          <w:highlight w:val="none"/>
        </w:rPr>
        <w:t>科研思维与管理能力培养：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鼓励学员参与在研课题及科室质控管理，学习临床研究设计、数据采集和论文撰写，同时参与科室质量改进项目，培养科研素养与学科管理能力。</w:t>
      </w:r>
    </w:p>
    <w:p w14:paraId="10E976DB">
      <w:pPr>
        <w:spacing w:line="560" w:lineRule="exact"/>
        <w:ind w:firstLine="641" w:firstLineChars="200"/>
        <w:rPr>
          <w:rFonts w:ascii="Times New Roman" w:hAnsi="Times New Roman" w:eastAsia="楷体"/>
          <w:b/>
          <w:bCs/>
          <w:color w:val="auto"/>
          <w:sz w:val="32"/>
          <w:szCs w:val="32"/>
          <w:highlight w:val="none"/>
        </w:rPr>
      </w:pPr>
    </w:p>
    <w:p w14:paraId="202FA3AA">
      <w:pPr>
        <w:spacing w:line="560" w:lineRule="exact"/>
        <w:rPr>
          <w:rFonts w:ascii="Times New Roman" w:hAnsi="Times New Roman" w:eastAsia="楷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b/>
          <w:color w:val="auto"/>
          <w:sz w:val="32"/>
          <w:szCs w:val="32"/>
          <w:highlight w:val="none"/>
        </w:rPr>
        <w:t>三</w:t>
      </w:r>
      <w:r>
        <w:rPr>
          <w:rFonts w:ascii="Times New Roman" w:hAnsi="Times New Roman" w:eastAsia="楷体"/>
          <w:b/>
          <w:color w:val="auto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楷体"/>
          <w:b/>
          <w:color w:val="auto"/>
          <w:sz w:val="32"/>
          <w:szCs w:val="32"/>
          <w:highlight w:val="none"/>
        </w:rPr>
        <w:t>师资团队</w:t>
      </w:r>
    </w:p>
    <w:p w14:paraId="009424EC">
      <w:pPr>
        <w:spacing w:line="560" w:lineRule="exact"/>
        <w:ind w:firstLine="640" w:firstLineChars="200"/>
        <w:rPr>
          <w:rFonts w:ascii="Times New Roman" w:hAnsi="Times New Roman" w:eastAsia="楷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本科室共有9名带教师资，其中正高级职称2名。</w:t>
      </w:r>
      <w:r>
        <w:rPr>
          <w:rFonts w:ascii="Times New Roman" w:hAnsi="Times New Roman" w:eastAsia="楷体"/>
          <w:color w:val="auto"/>
          <w:sz w:val="32"/>
          <w:szCs w:val="32"/>
          <w:highlight w:val="none"/>
        </w:rPr>
        <w:t>团队在烧伤救治、创面修复、及各类整形美容手术方面具有丰富的临床经验和多年教学带教经历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。</w:t>
      </w:r>
    </w:p>
    <w:p w14:paraId="593A8F7F">
      <w:pPr>
        <w:spacing w:line="560" w:lineRule="exact"/>
        <w:ind w:firstLine="640" w:firstLineChars="200"/>
        <w:rPr>
          <w:rFonts w:ascii="Times New Roman" w:hAnsi="Times New Roman" w:eastAsia="楷体"/>
          <w:color w:val="auto"/>
          <w:sz w:val="32"/>
          <w:szCs w:val="32"/>
          <w:highlight w:val="none"/>
        </w:rPr>
      </w:pPr>
    </w:p>
    <w:p w14:paraId="08399596">
      <w:pPr>
        <w:numPr>
          <w:ilvl w:val="0"/>
          <w:numId w:val="1"/>
        </w:numPr>
        <w:spacing w:line="560" w:lineRule="exact"/>
        <w:rPr>
          <w:rFonts w:ascii="Times New Roman" w:hAnsi="Times New Roman" w:eastAsia="楷体"/>
          <w:b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b/>
          <w:color w:val="auto"/>
          <w:sz w:val="32"/>
          <w:szCs w:val="32"/>
          <w:highlight w:val="none"/>
        </w:rPr>
        <w:t>培训目标</w:t>
      </w:r>
    </w:p>
    <w:p w14:paraId="22CB8F10">
      <w:pPr>
        <w:spacing w:line="560" w:lineRule="exact"/>
        <w:ind w:firstLine="640" w:firstLineChars="200"/>
        <w:rPr>
          <w:rFonts w:ascii="Times New Roman" w:hAnsi="Times New Roman" w:eastAsia="楷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本进修项目旨在通过系统化、规范化的分层培训，使学员在临床诊疗、手术操作、科研思维和综合管理能力等方面实现全面提升，达到独立开展烧伤整形科常见临床工作的目标。</w:t>
      </w:r>
    </w:p>
    <w:p w14:paraId="2D9A8268">
      <w:pPr>
        <w:spacing w:line="560" w:lineRule="exact"/>
        <w:rPr>
          <w:rFonts w:ascii="Times New Roman" w:hAnsi="Times New Roman" w:eastAsia="楷体"/>
          <w:color w:val="auto"/>
          <w:sz w:val="32"/>
          <w:szCs w:val="32"/>
          <w:highlight w:val="none"/>
        </w:rPr>
      </w:pPr>
    </w:p>
    <w:p w14:paraId="31C10236">
      <w:pPr>
        <w:spacing w:line="560" w:lineRule="exact"/>
        <w:rPr>
          <w:rFonts w:ascii="Times New Roman" w:hAnsi="Times New Roman" w:eastAsia="楷体"/>
          <w:b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b/>
          <w:color w:val="auto"/>
          <w:sz w:val="32"/>
          <w:szCs w:val="32"/>
          <w:highlight w:val="none"/>
        </w:rPr>
        <w:t>五、培训方案</w:t>
      </w:r>
    </w:p>
    <w:p w14:paraId="12D20A42">
      <w:pPr>
        <w:numPr>
          <w:ilvl w:val="0"/>
          <w:numId w:val="2"/>
        </w:numPr>
        <w:spacing w:line="560" w:lineRule="exact"/>
        <w:rPr>
          <w:rFonts w:ascii="Times New Roman" w:hAnsi="Times New Roman" w:eastAsia="楷体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 w:cs="仿宋_GB2312"/>
          <w:color w:val="auto"/>
          <w:sz w:val="32"/>
          <w:szCs w:val="32"/>
          <w:highlight w:val="none"/>
        </w:rPr>
        <w:t>研修时长</w:t>
      </w:r>
    </w:p>
    <w:p w14:paraId="0BB69497"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楷体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楷体" w:cs="仿宋_GB2312"/>
          <w:color w:val="auto"/>
          <w:sz w:val="32"/>
          <w:szCs w:val="32"/>
          <w:highlight w:val="none"/>
          <w:lang w:val="en-US" w:eastAsia="zh-CN"/>
        </w:rPr>
        <w:t>6个月</w:t>
      </w:r>
    </w:p>
    <w:p w14:paraId="1BBEB6E1">
      <w:pPr>
        <w:spacing w:line="560" w:lineRule="exact"/>
        <w:rPr>
          <w:rFonts w:ascii="Times New Roman" w:hAnsi="Times New Roman" w:eastAsia="楷体" w:cs="仿宋_GB2312"/>
          <w:color w:val="auto"/>
          <w:sz w:val="32"/>
          <w:szCs w:val="32"/>
          <w:highlight w:val="none"/>
        </w:rPr>
      </w:pPr>
    </w:p>
    <w:p w14:paraId="06195281">
      <w:pPr>
        <w:numPr>
          <w:ilvl w:val="0"/>
          <w:numId w:val="2"/>
        </w:numPr>
        <w:spacing w:line="560" w:lineRule="exact"/>
        <w:rPr>
          <w:rFonts w:ascii="Times New Roman" w:hAnsi="Times New Roman" w:eastAsia="楷体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 w:cs="仿宋_GB2312"/>
          <w:color w:val="auto"/>
          <w:sz w:val="32"/>
          <w:szCs w:val="32"/>
          <w:highlight w:val="none"/>
        </w:rPr>
        <w:t>学习内容/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课程设置（理论课程+临床实践+技能训练）</w:t>
      </w:r>
    </w:p>
    <w:tbl>
      <w:tblPr>
        <w:tblStyle w:val="16"/>
        <w:tblW w:w="82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1485"/>
        <w:gridCol w:w="3554"/>
        <w:gridCol w:w="1261"/>
      </w:tblGrid>
      <w:tr w14:paraId="718A6581">
        <w:tc>
          <w:tcPr>
            <w:tcW w:w="1922" w:type="dxa"/>
          </w:tcPr>
          <w:p w14:paraId="4148EAA8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授课人姓名</w:t>
            </w:r>
          </w:p>
        </w:tc>
        <w:tc>
          <w:tcPr>
            <w:tcW w:w="1485" w:type="dxa"/>
          </w:tcPr>
          <w:p w14:paraId="17828711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职称</w:t>
            </w:r>
          </w:p>
        </w:tc>
        <w:tc>
          <w:tcPr>
            <w:tcW w:w="3554" w:type="dxa"/>
          </w:tcPr>
          <w:p w14:paraId="70D8EF86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课程</w:t>
            </w:r>
          </w:p>
        </w:tc>
        <w:tc>
          <w:tcPr>
            <w:tcW w:w="1261" w:type="dxa"/>
          </w:tcPr>
          <w:p w14:paraId="588FF753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学时数</w:t>
            </w:r>
          </w:p>
        </w:tc>
      </w:tr>
      <w:tr w14:paraId="521FF1ED">
        <w:trPr>
          <w:trHeight w:val="614" w:hRule="atLeast"/>
        </w:trPr>
        <w:tc>
          <w:tcPr>
            <w:tcW w:w="1922" w:type="dxa"/>
            <w:vAlign w:val="center"/>
          </w:tcPr>
          <w:p w14:paraId="197CFCBF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罗奇志</w:t>
            </w:r>
          </w:p>
        </w:tc>
        <w:tc>
          <w:tcPr>
            <w:tcW w:w="1485" w:type="dxa"/>
            <w:vAlign w:val="center"/>
          </w:tcPr>
          <w:p w14:paraId="3A9998D6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高级</w:t>
            </w:r>
          </w:p>
        </w:tc>
        <w:tc>
          <w:tcPr>
            <w:tcW w:w="3554" w:type="dxa"/>
            <w:vAlign w:val="center"/>
          </w:tcPr>
          <w:p w14:paraId="23778555">
            <w:pPr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  <w:t>烧伤休克与液体复苏</w:t>
            </w:r>
          </w:p>
        </w:tc>
        <w:tc>
          <w:tcPr>
            <w:tcW w:w="1261" w:type="dxa"/>
            <w:vAlign w:val="center"/>
          </w:tcPr>
          <w:p w14:paraId="33779ACF">
            <w:pPr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2</w:t>
            </w:r>
          </w:p>
        </w:tc>
      </w:tr>
      <w:tr w14:paraId="161B9BBF">
        <w:tc>
          <w:tcPr>
            <w:tcW w:w="1922" w:type="dxa"/>
          </w:tcPr>
          <w:p w14:paraId="48EE794E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罗奇志</w:t>
            </w:r>
          </w:p>
        </w:tc>
        <w:tc>
          <w:tcPr>
            <w:tcW w:w="1485" w:type="dxa"/>
          </w:tcPr>
          <w:p w14:paraId="1E9D5546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高级</w:t>
            </w:r>
          </w:p>
        </w:tc>
        <w:tc>
          <w:tcPr>
            <w:tcW w:w="3554" w:type="dxa"/>
          </w:tcPr>
          <w:p w14:paraId="6AD9A3F4">
            <w:pPr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  <w:t>吸入性损伤诊治</w:t>
            </w:r>
          </w:p>
        </w:tc>
        <w:tc>
          <w:tcPr>
            <w:tcW w:w="1261" w:type="dxa"/>
          </w:tcPr>
          <w:p w14:paraId="0E32168B">
            <w:pPr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2</w:t>
            </w:r>
          </w:p>
        </w:tc>
      </w:tr>
      <w:tr w14:paraId="34EC5B95">
        <w:tc>
          <w:tcPr>
            <w:tcW w:w="1922" w:type="dxa"/>
          </w:tcPr>
          <w:p w14:paraId="72F2E2DB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罗奇志</w:t>
            </w:r>
          </w:p>
        </w:tc>
        <w:tc>
          <w:tcPr>
            <w:tcW w:w="1485" w:type="dxa"/>
          </w:tcPr>
          <w:p w14:paraId="6917AAAF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高级</w:t>
            </w:r>
          </w:p>
        </w:tc>
        <w:tc>
          <w:tcPr>
            <w:tcW w:w="3554" w:type="dxa"/>
          </w:tcPr>
          <w:p w14:paraId="736660E3">
            <w:pPr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  <w:t>脓毒症与MODS防治</w:t>
            </w:r>
          </w:p>
        </w:tc>
        <w:tc>
          <w:tcPr>
            <w:tcW w:w="1261" w:type="dxa"/>
          </w:tcPr>
          <w:p w14:paraId="2E150F2F">
            <w:pPr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2</w:t>
            </w:r>
          </w:p>
        </w:tc>
      </w:tr>
      <w:tr w14:paraId="2D2D122E">
        <w:tc>
          <w:tcPr>
            <w:tcW w:w="1922" w:type="dxa"/>
          </w:tcPr>
          <w:p w14:paraId="1C32BB1B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罗奇志</w:t>
            </w:r>
          </w:p>
        </w:tc>
        <w:tc>
          <w:tcPr>
            <w:tcW w:w="1485" w:type="dxa"/>
          </w:tcPr>
          <w:p w14:paraId="1FBE8998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高级</w:t>
            </w:r>
          </w:p>
        </w:tc>
        <w:tc>
          <w:tcPr>
            <w:tcW w:w="3554" w:type="dxa"/>
          </w:tcPr>
          <w:p w14:paraId="26A0372E">
            <w:pPr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  <w:t>营养支持及代谢调理</w:t>
            </w:r>
          </w:p>
        </w:tc>
        <w:tc>
          <w:tcPr>
            <w:tcW w:w="1261" w:type="dxa"/>
          </w:tcPr>
          <w:p w14:paraId="6DD1DD17">
            <w:pPr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2</w:t>
            </w:r>
          </w:p>
        </w:tc>
      </w:tr>
      <w:tr w14:paraId="06BFAEF5">
        <w:tc>
          <w:tcPr>
            <w:tcW w:w="1922" w:type="dxa"/>
          </w:tcPr>
          <w:p w14:paraId="0B31F0DD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李海红</w:t>
            </w:r>
          </w:p>
        </w:tc>
        <w:tc>
          <w:tcPr>
            <w:tcW w:w="1485" w:type="dxa"/>
          </w:tcPr>
          <w:p w14:paraId="75D52EF9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高级</w:t>
            </w:r>
          </w:p>
        </w:tc>
        <w:tc>
          <w:tcPr>
            <w:tcW w:w="3554" w:type="dxa"/>
          </w:tcPr>
          <w:p w14:paraId="53250AB3">
            <w:pPr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  <w:t>急慢性创面分类与评估</w:t>
            </w:r>
          </w:p>
        </w:tc>
        <w:tc>
          <w:tcPr>
            <w:tcW w:w="1261" w:type="dxa"/>
          </w:tcPr>
          <w:p w14:paraId="2F03E1F6">
            <w:pPr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2</w:t>
            </w:r>
          </w:p>
        </w:tc>
      </w:tr>
      <w:tr w14:paraId="6A3AD820">
        <w:tc>
          <w:tcPr>
            <w:tcW w:w="1922" w:type="dxa"/>
          </w:tcPr>
          <w:p w14:paraId="5DFE2519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李海红</w:t>
            </w:r>
          </w:p>
        </w:tc>
        <w:tc>
          <w:tcPr>
            <w:tcW w:w="1485" w:type="dxa"/>
          </w:tcPr>
          <w:p w14:paraId="172C5EB4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高级</w:t>
            </w:r>
          </w:p>
        </w:tc>
        <w:tc>
          <w:tcPr>
            <w:tcW w:w="3554" w:type="dxa"/>
          </w:tcPr>
          <w:p w14:paraId="63B04DC6">
            <w:pPr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  <w:t>负压封闭引流技术</w:t>
            </w:r>
          </w:p>
        </w:tc>
        <w:tc>
          <w:tcPr>
            <w:tcW w:w="1261" w:type="dxa"/>
          </w:tcPr>
          <w:p w14:paraId="041B23EF">
            <w:pPr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2</w:t>
            </w:r>
          </w:p>
        </w:tc>
      </w:tr>
      <w:tr w14:paraId="10619FAC">
        <w:tc>
          <w:tcPr>
            <w:tcW w:w="1922" w:type="dxa"/>
          </w:tcPr>
          <w:p w14:paraId="3883D9A2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李海红</w:t>
            </w:r>
          </w:p>
        </w:tc>
        <w:tc>
          <w:tcPr>
            <w:tcW w:w="1485" w:type="dxa"/>
          </w:tcPr>
          <w:p w14:paraId="24383B4E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高级</w:t>
            </w:r>
          </w:p>
        </w:tc>
        <w:tc>
          <w:tcPr>
            <w:tcW w:w="3554" w:type="dxa"/>
          </w:tcPr>
          <w:p w14:paraId="6B93D0F2">
            <w:pPr>
              <w:jc w:val="center"/>
              <w:rPr>
                <w:rFonts w:hint="default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  <w:t>皮片与皮瓣移植理论</w:t>
            </w: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  <w:t>与实操练习</w:t>
            </w:r>
          </w:p>
        </w:tc>
        <w:tc>
          <w:tcPr>
            <w:tcW w:w="1261" w:type="dxa"/>
          </w:tcPr>
          <w:p w14:paraId="4BA52855">
            <w:pPr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2</w:t>
            </w:r>
          </w:p>
        </w:tc>
      </w:tr>
      <w:tr w14:paraId="64A12124">
        <w:tc>
          <w:tcPr>
            <w:tcW w:w="1922" w:type="dxa"/>
          </w:tcPr>
          <w:p w14:paraId="02974AB4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翟旭</w:t>
            </w:r>
          </w:p>
        </w:tc>
        <w:tc>
          <w:tcPr>
            <w:tcW w:w="1485" w:type="dxa"/>
          </w:tcPr>
          <w:p w14:paraId="01AD7012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中级</w:t>
            </w:r>
          </w:p>
        </w:tc>
        <w:tc>
          <w:tcPr>
            <w:tcW w:w="3554" w:type="dxa"/>
          </w:tcPr>
          <w:p w14:paraId="52E4F7D0">
            <w:pPr>
              <w:jc w:val="center"/>
              <w:rPr>
                <w:rFonts w:hint="default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  <w:t>美容缝合实操</w:t>
            </w:r>
          </w:p>
        </w:tc>
        <w:tc>
          <w:tcPr>
            <w:tcW w:w="1261" w:type="dxa"/>
          </w:tcPr>
          <w:p w14:paraId="5F3AFBE5">
            <w:pPr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2</w:t>
            </w:r>
          </w:p>
        </w:tc>
      </w:tr>
      <w:tr w14:paraId="29FD2009">
        <w:tc>
          <w:tcPr>
            <w:tcW w:w="1922" w:type="dxa"/>
          </w:tcPr>
          <w:p w14:paraId="126E6B43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翟旭</w:t>
            </w:r>
          </w:p>
        </w:tc>
        <w:tc>
          <w:tcPr>
            <w:tcW w:w="1485" w:type="dxa"/>
          </w:tcPr>
          <w:p w14:paraId="433F9EAA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中级</w:t>
            </w:r>
          </w:p>
        </w:tc>
        <w:tc>
          <w:tcPr>
            <w:tcW w:w="3554" w:type="dxa"/>
          </w:tcPr>
          <w:p w14:paraId="3FFB5E03">
            <w:pPr>
              <w:jc w:val="center"/>
              <w:rPr>
                <w:rFonts w:hint="default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  <w:t>注射填充模拟练习</w:t>
            </w:r>
          </w:p>
        </w:tc>
        <w:tc>
          <w:tcPr>
            <w:tcW w:w="1261" w:type="dxa"/>
          </w:tcPr>
          <w:p w14:paraId="3CB814AB">
            <w:pPr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2</w:t>
            </w:r>
          </w:p>
        </w:tc>
      </w:tr>
      <w:tr w14:paraId="3E52339A">
        <w:tc>
          <w:tcPr>
            <w:tcW w:w="1922" w:type="dxa"/>
          </w:tcPr>
          <w:p w14:paraId="5E630073">
            <w:pPr>
              <w:spacing w:line="560" w:lineRule="exact"/>
              <w:jc w:val="center"/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  <w:t>田钰</w:t>
            </w:r>
          </w:p>
        </w:tc>
        <w:tc>
          <w:tcPr>
            <w:tcW w:w="1485" w:type="dxa"/>
          </w:tcPr>
          <w:p w14:paraId="5EE7FE8E">
            <w:pPr>
              <w:spacing w:line="560" w:lineRule="exact"/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中级</w:t>
            </w:r>
          </w:p>
        </w:tc>
        <w:tc>
          <w:tcPr>
            <w:tcW w:w="3554" w:type="dxa"/>
          </w:tcPr>
          <w:p w14:paraId="1447E7BE">
            <w:pPr>
              <w:jc w:val="center"/>
              <w:rPr>
                <w:rFonts w:hint="default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  <w:t>鼻假体的选择与优缺点</w:t>
            </w:r>
          </w:p>
        </w:tc>
        <w:tc>
          <w:tcPr>
            <w:tcW w:w="1261" w:type="dxa"/>
          </w:tcPr>
          <w:p w14:paraId="38EC4F85">
            <w:pPr>
              <w:jc w:val="center"/>
              <w:rPr>
                <w:rFonts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2</w:t>
            </w:r>
          </w:p>
        </w:tc>
      </w:tr>
      <w:tr w14:paraId="7BFC3F1D">
        <w:tc>
          <w:tcPr>
            <w:tcW w:w="1922" w:type="dxa"/>
            <w:shd w:val="clear" w:color="auto" w:fill="auto"/>
            <w:vAlign w:val="top"/>
          </w:tcPr>
          <w:p w14:paraId="53BAB720">
            <w:pPr>
              <w:spacing w:line="560" w:lineRule="exact"/>
              <w:jc w:val="center"/>
              <w:rPr>
                <w:rFonts w:hint="eastAsia" w:ascii="Times New Roman" w:hAnsi="Times New Roman" w:eastAsia="楷体" w:cstheme="minorBidi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  <w:t>田钰</w:t>
            </w:r>
          </w:p>
        </w:tc>
        <w:tc>
          <w:tcPr>
            <w:tcW w:w="1485" w:type="dxa"/>
            <w:shd w:val="clear" w:color="auto" w:fill="auto"/>
            <w:vAlign w:val="top"/>
          </w:tcPr>
          <w:p w14:paraId="61B50276">
            <w:pPr>
              <w:spacing w:line="560" w:lineRule="exact"/>
              <w:jc w:val="center"/>
              <w:rPr>
                <w:rFonts w:hint="eastAsia" w:ascii="Times New Roman" w:hAnsi="Times New Roman" w:eastAsia="楷体" w:cstheme="minorBidi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中级</w:t>
            </w:r>
          </w:p>
        </w:tc>
        <w:tc>
          <w:tcPr>
            <w:tcW w:w="3554" w:type="dxa"/>
          </w:tcPr>
          <w:p w14:paraId="0BA717C4">
            <w:pPr>
              <w:jc w:val="center"/>
              <w:rPr>
                <w:rFonts w:hint="default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  <w:t>颌面整形的风险规避</w:t>
            </w:r>
          </w:p>
        </w:tc>
        <w:tc>
          <w:tcPr>
            <w:tcW w:w="1261" w:type="dxa"/>
          </w:tcPr>
          <w:p w14:paraId="6F86FC7F">
            <w:pPr>
              <w:jc w:val="center"/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  <w:t>2</w:t>
            </w:r>
          </w:p>
        </w:tc>
      </w:tr>
      <w:tr w14:paraId="3062B951">
        <w:tc>
          <w:tcPr>
            <w:tcW w:w="1922" w:type="dxa"/>
          </w:tcPr>
          <w:p w14:paraId="63B3E2ED">
            <w:pPr>
              <w:spacing w:line="560" w:lineRule="exact"/>
              <w:jc w:val="center"/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  <w:t>王可可</w:t>
            </w:r>
          </w:p>
        </w:tc>
        <w:tc>
          <w:tcPr>
            <w:tcW w:w="1485" w:type="dxa"/>
          </w:tcPr>
          <w:p w14:paraId="0D1CCE11">
            <w:pPr>
              <w:spacing w:line="560" w:lineRule="exact"/>
              <w:jc w:val="center"/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中级</w:t>
            </w:r>
          </w:p>
        </w:tc>
        <w:tc>
          <w:tcPr>
            <w:tcW w:w="3554" w:type="dxa"/>
          </w:tcPr>
          <w:p w14:paraId="06922528">
            <w:pPr>
              <w:jc w:val="center"/>
              <w:rPr>
                <w:rFonts w:hint="default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  <w:t>乳房整形的解剖注意要点</w:t>
            </w:r>
          </w:p>
        </w:tc>
        <w:tc>
          <w:tcPr>
            <w:tcW w:w="1261" w:type="dxa"/>
          </w:tcPr>
          <w:p w14:paraId="4C5A7CC9">
            <w:pPr>
              <w:jc w:val="center"/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  <w:t>2</w:t>
            </w:r>
          </w:p>
        </w:tc>
      </w:tr>
      <w:tr w14:paraId="301FF605">
        <w:tc>
          <w:tcPr>
            <w:tcW w:w="1922" w:type="dxa"/>
            <w:shd w:val="clear" w:color="auto" w:fill="auto"/>
            <w:vAlign w:val="top"/>
          </w:tcPr>
          <w:p w14:paraId="0B8CA770">
            <w:pPr>
              <w:spacing w:line="560" w:lineRule="exact"/>
              <w:jc w:val="center"/>
              <w:rPr>
                <w:rFonts w:hint="eastAsia" w:ascii="Times New Roman" w:hAnsi="Times New Roman" w:eastAsia="楷体" w:cstheme="minorBidi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  <w:t>王可可</w:t>
            </w:r>
          </w:p>
        </w:tc>
        <w:tc>
          <w:tcPr>
            <w:tcW w:w="1485" w:type="dxa"/>
            <w:shd w:val="clear" w:color="auto" w:fill="auto"/>
            <w:vAlign w:val="top"/>
          </w:tcPr>
          <w:p w14:paraId="75D0E2FC">
            <w:pPr>
              <w:spacing w:line="560" w:lineRule="exact"/>
              <w:jc w:val="center"/>
              <w:rPr>
                <w:rFonts w:hint="eastAsia" w:ascii="Times New Roman" w:hAnsi="Times New Roman" w:eastAsia="楷体" w:cstheme="minorBidi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</w:rPr>
              <w:t>中级</w:t>
            </w:r>
          </w:p>
        </w:tc>
        <w:tc>
          <w:tcPr>
            <w:tcW w:w="3554" w:type="dxa"/>
          </w:tcPr>
          <w:p w14:paraId="662A8CC9">
            <w:pPr>
              <w:jc w:val="center"/>
              <w:rPr>
                <w:rFonts w:hint="default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  <w:t>脂肪填充的类型</w:t>
            </w:r>
          </w:p>
        </w:tc>
        <w:tc>
          <w:tcPr>
            <w:tcW w:w="1261" w:type="dxa"/>
          </w:tcPr>
          <w:p w14:paraId="64F4A39A">
            <w:pPr>
              <w:jc w:val="center"/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"/>
                <w:color w:val="auto"/>
                <w:sz w:val="32"/>
                <w:szCs w:val="32"/>
                <w:highlight w:val="none"/>
                <w:lang w:val="en-US" w:eastAsia="zh-CN"/>
              </w:rPr>
              <w:t>2</w:t>
            </w:r>
          </w:p>
        </w:tc>
      </w:tr>
    </w:tbl>
    <w:p w14:paraId="3EF3A0F5">
      <w:pPr>
        <w:numPr>
          <w:ilvl w:val="0"/>
          <w:numId w:val="2"/>
        </w:numPr>
        <w:spacing w:line="560" w:lineRule="exact"/>
        <w:rPr>
          <w:rFonts w:ascii="Times New Roman" w:hAnsi="Times New Roman" w:eastAsia="楷体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 w:cs="仿宋_GB2312"/>
          <w:b/>
          <w:color w:val="auto"/>
          <w:sz w:val="32"/>
          <w:szCs w:val="32"/>
          <w:highlight w:val="none"/>
        </w:rPr>
        <w:t>带教方法</w:t>
      </w:r>
    </w:p>
    <w:p w14:paraId="7A18FED0">
      <w:pPr>
        <w:spacing w:line="560" w:lineRule="exact"/>
        <w:ind w:firstLine="640" w:firstLineChars="200"/>
        <w:rPr>
          <w:rFonts w:ascii="Times New Roman" w:hAnsi="Times New Roman" w:eastAsia="楷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采用“分层递进、多元融合”的带教模式，将理论讲授、临床实战与技能训练有机贯穿于培训全过程，确保教学效果落到实处。</w:t>
      </w:r>
    </w:p>
    <w:p w14:paraId="0FB85AC6">
      <w:pPr>
        <w:spacing w:line="560" w:lineRule="exact"/>
        <w:ind w:firstLine="640" w:firstLineChars="200"/>
        <w:rPr>
          <w:rFonts w:ascii="Times New Roman" w:hAnsi="Times New Roman" w:eastAsia="楷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每位学员入科即分配一名固定导师，负责全程学习规划与技能指导。同时将学员编入不同医疗组，参与组内日常诊疗和手术，在真实临床场景中积累实战经验。导师每周与学员进行一对一反馈交流，动态调整培训计划。</w:t>
      </w:r>
    </w:p>
    <w:p w14:paraId="08C425C1">
      <w:pPr>
        <w:spacing w:line="560" w:lineRule="exact"/>
        <w:ind w:firstLine="640" w:firstLineChars="200"/>
        <w:rPr>
          <w:rFonts w:ascii="Times New Roman" w:hAnsi="Times New Roman" w:eastAsia="楷体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除每周固定的专题讲座外，还设置教学查房、术前讨论、疑难病例会诊等多种形式，鼓励学员主动提问、大胆表达诊疗思路。</w:t>
      </w:r>
    </w:p>
    <w:p w14:paraId="2E4F8B88">
      <w:pPr>
        <w:numPr>
          <w:ilvl w:val="0"/>
          <w:numId w:val="2"/>
        </w:numPr>
        <w:spacing w:line="560" w:lineRule="exact"/>
        <w:rPr>
          <w:rFonts w:ascii="Times New Roman" w:hAnsi="Times New Roman" w:eastAsia="楷体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 w:cs="仿宋_GB2312"/>
          <w:color w:val="auto"/>
          <w:sz w:val="32"/>
          <w:szCs w:val="32"/>
          <w:highlight w:val="none"/>
        </w:rPr>
        <w:t>培训效果</w:t>
      </w:r>
    </w:p>
    <w:p w14:paraId="74B9C727">
      <w:pPr>
        <w:spacing w:line="560" w:lineRule="exact"/>
        <w:ind w:firstLine="640" w:firstLineChars="200"/>
        <w:rPr>
          <w:rFonts w:ascii="Times New Roman" w:hAnsi="Times New Roman" w:eastAsia="楷体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 w:cs="仿宋_GB2312"/>
          <w:color w:val="auto"/>
          <w:sz w:val="32"/>
          <w:szCs w:val="32"/>
          <w:highlight w:val="none"/>
        </w:rPr>
        <w:t>通过系统化的培训与实践，进修学员在临床能力、手术技能和学术素养方面能取得显著提升，结业时能够独立开展以下核心操作：危重烧伤的早期评估与液体复苏管理、负压封闭引流术、常见皮片移植及局部皮瓣转移术、瘢痕综合治疗、体表肿物切除及美容缝合等，具备处理烧伤整形科常见急症和择期手术的独立工作能力。</w:t>
      </w:r>
    </w:p>
    <w:p w14:paraId="01957ED1">
      <w:pPr>
        <w:spacing w:line="560" w:lineRule="exact"/>
        <w:ind w:firstLine="640" w:firstLineChars="200"/>
        <w:rPr>
          <w:rFonts w:ascii="Times New Roman" w:hAnsi="Times New Roman" w:eastAsia="楷体" w:cs="仿宋_GB2312"/>
          <w:color w:val="auto"/>
          <w:sz w:val="32"/>
          <w:szCs w:val="32"/>
          <w:highlight w:val="none"/>
        </w:rPr>
      </w:pPr>
    </w:p>
    <w:p w14:paraId="61023F67">
      <w:pPr>
        <w:spacing w:line="560" w:lineRule="exact"/>
        <w:rPr>
          <w:rFonts w:ascii="Times New Roman" w:hAnsi="Times New Roman" w:eastAsia="楷体"/>
          <w:b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b/>
          <w:color w:val="auto"/>
          <w:sz w:val="32"/>
          <w:szCs w:val="32"/>
          <w:highlight w:val="none"/>
        </w:rPr>
        <w:t>六、考核方案</w:t>
      </w:r>
    </w:p>
    <w:p w14:paraId="693125AD">
      <w:pPr>
        <w:spacing w:line="560" w:lineRule="exact"/>
        <w:ind w:firstLine="640" w:firstLineChars="200"/>
        <w:rPr>
          <w:rFonts w:ascii="Times New Roman" w:hAnsi="Times New Roman" w:eastAsia="楷体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 w:cs="仿宋_GB2312"/>
          <w:color w:val="auto"/>
          <w:sz w:val="32"/>
          <w:szCs w:val="32"/>
          <w:highlight w:val="none"/>
        </w:rPr>
        <w:t>本进修项目坚持过程性评价与终结性评价相结合，确保培训质量可测、可评、可控。日常过程考核由带教导师每周进行一次反馈评估，重点记录学员在查房、术前讨论、换药操作、手术参与等方面的表现，形成动态成长档案。进修结束后需通过出科考核，包括理论笔试（占40%）、技能操作考核（占40%）和典型病例分析答辩（占20%），由导师组评分。</w:t>
      </w:r>
    </w:p>
    <w:p w14:paraId="0EF336C6">
      <w:pPr>
        <w:spacing w:line="560" w:lineRule="exact"/>
        <w:ind w:firstLine="640" w:firstLineChars="200"/>
        <w:rPr>
          <w:rFonts w:ascii="Times New Roman" w:hAnsi="Times New Roman" w:eastAsia="楷体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 w:cs="仿宋_GB2312"/>
          <w:color w:val="auto"/>
          <w:sz w:val="32"/>
          <w:szCs w:val="32"/>
          <w:highlight w:val="none"/>
        </w:rPr>
        <w:t>终期结业考核涵盖三个方面：</w:t>
      </w:r>
    </w:p>
    <w:p w14:paraId="62CDD361">
      <w:pPr>
        <w:spacing w:line="560" w:lineRule="exact"/>
        <w:ind w:firstLine="640" w:firstLineChars="200"/>
        <w:rPr>
          <w:rFonts w:ascii="Times New Roman" w:hAnsi="Times New Roman" w:eastAsia="楷体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 w:cs="仿宋_GB2312"/>
          <w:color w:val="auto"/>
          <w:sz w:val="32"/>
          <w:szCs w:val="32"/>
          <w:highlight w:val="none"/>
        </w:rPr>
        <w:t>①理论综合考试（覆盖烧伤整形全领域知识）；</w:t>
      </w:r>
    </w:p>
    <w:p w14:paraId="4411D275">
      <w:pPr>
        <w:spacing w:line="560" w:lineRule="exact"/>
        <w:ind w:firstLine="640" w:firstLineChars="200"/>
        <w:rPr>
          <w:rFonts w:ascii="Times New Roman" w:hAnsi="Times New Roman" w:eastAsia="楷体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 w:cs="仿宋_GB2312"/>
          <w:color w:val="auto"/>
          <w:sz w:val="32"/>
          <w:szCs w:val="32"/>
          <w:highlight w:val="none"/>
        </w:rPr>
        <w:t>②手术实操考核（在导师监督下独立完成一例指定手术，如邮票植皮、局部皮瓣转移或瘢痕激光治疗，由评委组评分）；</w:t>
      </w:r>
    </w:p>
    <w:p w14:paraId="37350C58">
      <w:pPr>
        <w:spacing w:line="560" w:lineRule="exact"/>
        <w:ind w:firstLine="640" w:firstLineChars="200"/>
        <w:rPr>
          <w:rFonts w:ascii="Times New Roman" w:hAnsi="Times New Roman" w:eastAsia="楷体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 w:cs="仿宋_GB2312"/>
          <w:color w:val="auto"/>
          <w:sz w:val="32"/>
          <w:szCs w:val="32"/>
          <w:highlight w:val="none"/>
        </w:rPr>
        <w:t>③完整诊疗方案汇报答辩（选取一例全程参与管理的复杂病例，从入院评估到术后随访系统汇报）。</w:t>
      </w:r>
    </w:p>
    <w:p w14:paraId="1341793B">
      <w:pPr>
        <w:spacing w:line="560" w:lineRule="exact"/>
        <w:ind w:firstLine="640" w:firstLineChars="200"/>
        <w:rPr>
          <w:rFonts w:ascii="Times New Roman" w:hAnsi="Times New Roman" w:eastAsia="楷体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 w:cs="仿宋_GB2312"/>
          <w:color w:val="auto"/>
          <w:sz w:val="32"/>
          <w:szCs w:val="32"/>
          <w:highlight w:val="none"/>
        </w:rPr>
        <w:t>各项考核均采用百分制，总分≥80分为合格，90分以上为优秀，不合格者给予一次补考机会。终期考核通过后，科室为学员出具详实的进修鉴定和结业证书。</w:t>
      </w:r>
    </w:p>
    <w:sectPr>
      <w:pgSz w:w="11906" w:h="16838"/>
      <w:pgMar w:top="12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68AD4498-DC9E-5D7D-9832-636A2FF19E48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7C265A"/>
    <w:multiLevelType w:val="singleLevel"/>
    <w:tmpl w:val="C87C265A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A3086C0"/>
    <w:multiLevelType w:val="singleLevel"/>
    <w:tmpl w:val="EA3086C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000"/>
    <w:rsid w:val="000C3EDD"/>
    <w:rsid w:val="000D563F"/>
    <w:rsid w:val="00134F0D"/>
    <w:rsid w:val="002430C9"/>
    <w:rsid w:val="00294E6C"/>
    <w:rsid w:val="002D7C28"/>
    <w:rsid w:val="00470729"/>
    <w:rsid w:val="00483C51"/>
    <w:rsid w:val="005025A5"/>
    <w:rsid w:val="007231A3"/>
    <w:rsid w:val="00724BF5"/>
    <w:rsid w:val="007709AE"/>
    <w:rsid w:val="00832A51"/>
    <w:rsid w:val="009109C8"/>
    <w:rsid w:val="00A03D77"/>
    <w:rsid w:val="00AB623C"/>
    <w:rsid w:val="00AE7942"/>
    <w:rsid w:val="00C16BA9"/>
    <w:rsid w:val="00DE55B1"/>
    <w:rsid w:val="00E00000"/>
    <w:rsid w:val="00ED6AF8"/>
    <w:rsid w:val="0D4728C2"/>
    <w:rsid w:val="0FFB6786"/>
    <w:rsid w:val="1A805C3C"/>
    <w:rsid w:val="1DCA10D2"/>
    <w:rsid w:val="1F8B46C3"/>
    <w:rsid w:val="24A97F4B"/>
    <w:rsid w:val="385A6D6A"/>
    <w:rsid w:val="43003492"/>
    <w:rsid w:val="47F746F7"/>
    <w:rsid w:val="4FFD3B2A"/>
    <w:rsid w:val="51BE02C1"/>
    <w:rsid w:val="591B2E50"/>
    <w:rsid w:val="618463A2"/>
    <w:rsid w:val="6F5558EE"/>
    <w:rsid w:val="72B80173"/>
    <w:rsid w:val="72D336FA"/>
    <w:rsid w:val="773B29AF"/>
    <w:rsid w:val="77DED540"/>
    <w:rsid w:val="77FF5D21"/>
    <w:rsid w:val="7CB9BCAA"/>
    <w:rsid w:val="7CFA3220"/>
    <w:rsid w:val="7FBB4639"/>
    <w:rsid w:val="967B65F8"/>
    <w:rsid w:val="D75F9717"/>
    <w:rsid w:val="EFE4433D"/>
    <w:rsid w:val="F56F9AA4"/>
    <w:rsid w:val="F7B673DA"/>
    <w:rsid w:val="FBF7B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标题 1 Char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Char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Char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Char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Char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Char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Char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Char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Char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Char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Char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Char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Char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Char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Char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288</Words>
  <Characters>1645</Characters>
  <Lines>13</Lines>
  <Paragraphs>3</Paragraphs>
  <TotalTime>5</TotalTime>
  <ScaleCrop>false</ScaleCrop>
  <LinksUpToDate>false</LinksUpToDate>
  <CharactersWithSpaces>1930</CharactersWithSpaces>
  <Application>WPS Office_6.15.1.8935_F1E327BC-269C-435d-A152-05C5408002CA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2025-02-09T14:35:00Z</dcterms:created>
  <dc:creator>guo xiaoran</dc:creator>
  <cp:lastModifiedBy>susuana</cp:lastModifiedBy>
  <dcterms:modified xsi:type="dcterms:W3CDTF">2026-07-24T17:38:32Z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eyJoZGlkIjoiOTc3MTg5N2E4Y2RmMGY1NWRlMzhmMDdlZDNmMzMyMGEiLCJ1c2VySWQiOiIxMDMxOTYyODAyIn0=</vt:lpwstr>
  </property>
  <property fmtid="{D5CDD505-2E9C-101B-9397-08002B2CF9AE}" pid="3" name="KSOProductBuildVer">
    <vt:lpwstr>2052-6.15.1.8935</vt:lpwstr>
  </property>
  <property fmtid="{D5CDD505-2E9C-101B-9397-08002B2CF9AE}" pid="4" name="ICV">
    <vt:lpwstr>1DE4BF362E0939289832636A5DD76ABF_43</vt:lpwstr>
  </property>
</Properties>
</file>