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方正小标宋简体" w:cs="Times New Roman Regular"/>
          <w:sz w:val="44"/>
          <w:szCs w:val="44"/>
          <w:lang w:val="en-US" w:eastAsia="zh-CN"/>
        </w:rPr>
      </w:pPr>
      <w:r>
        <w:rPr>
          <w:rFonts w:hint="default" w:ascii="Times New Roman Regular" w:hAnsi="Times New Roman Regular" w:eastAsia="方正小标宋简体" w:cs="Times New Roman Regular"/>
          <w:sz w:val="44"/>
          <w:szCs w:val="44"/>
          <w:lang w:val="en-US" w:eastAsia="zh-CN"/>
        </w:rPr>
        <w:t>中山大学附属第七医院</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cs="Times New Roman Regular"/>
          <w:b/>
          <w:bCs/>
        </w:rPr>
      </w:pPr>
      <w:r>
        <w:rPr>
          <w:rFonts w:hint="default" w:ascii="Times New Roman Regular" w:hAnsi="Times New Roman Regular" w:eastAsia="方正小标宋简体" w:cs="Times New Roman Regular"/>
          <w:sz w:val="44"/>
          <w:szCs w:val="44"/>
          <w:lang w:val="en-US" w:eastAsia="zh-CN"/>
        </w:rPr>
        <w:t>2026年输血</w:t>
      </w:r>
      <w:r>
        <w:rPr>
          <w:rFonts w:hint="default" w:ascii="Times New Roman Regular" w:hAnsi="Times New Roman Regular" w:eastAsia="方正小标宋简体" w:cs="Times New Roman Regular"/>
          <w:sz w:val="44"/>
          <w:szCs w:val="44"/>
          <w:lang w:eastAsia="zh-CN"/>
        </w:rPr>
        <w:t>科</w:t>
      </w:r>
      <w:r>
        <w:rPr>
          <w:rFonts w:hint="default" w:ascii="Times New Roman Regular" w:hAnsi="Times New Roman Regular" w:eastAsia="方正小标宋简体" w:cs="Times New Roman Regular"/>
          <w:sz w:val="44"/>
          <w:szCs w:val="44"/>
          <w:lang w:val="en-US" w:eastAsia="zh-CN"/>
        </w:rPr>
        <w:t>血型</w:t>
      </w:r>
      <w:r>
        <w:rPr>
          <w:rFonts w:hint="default" w:ascii="Times New Roman Regular" w:hAnsi="Times New Roman Regular" w:eastAsia="方正小标宋简体" w:cs="Times New Roman Regular"/>
          <w:sz w:val="44"/>
          <w:szCs w:val="44"/>
          <w:lang w:eastAsia="zh-CN"/>
        </w:rPr>
        <w:t>技术研修班</w:t>
      </w:r>
      <w:r>
        <w:rPr>
          <w:rFonts w:hint="default" w:ascii="Times New Roman Regular" w:hAnsi="Times New Roman Regular" w:eastAsia="方正小标宋简体" w:cs="Times New Roman Regular"/>
          <w:sz w:val="44"/>
          <w:szCs w:val="44"/>
        </w:rPr>
        <w:t>培训方案</w:t>
      </w:r>
    </w:p>
    <w:p>
      <w:pPr>
        <w:rPr>
          <w:rFonts w:hint="default" w:ascii="Times New Roman Regular" w:hAnsi="Times New Roman Regular" w:cs="Times New Roman Regular"/>
          <w:b/>
          <w:bCs/>
        </w:rPr>
      </w:pPr>
    </w:p>
    <w:p>
      <w:pPr>
        <w:spacing w:line="560" w:lineRule="exact"/>
        <w:rPr>
          <w:rFonts w:hint="default" w:ascii="Times New Roman Regular" w:hAnsi="Times New Roman Regular" w:eastAsia="黑体" w:cs="Times New Roman Regular"/>
          <w:sz w:val="32"/>
          <w:szCs w:val="32"/>
          <w:lang w:val="en-US" w:eastAsia="zh-CN"/>
        </w:rPr>
      </w:pPr>
      <w:r>
        <w:rPr>
          <w:rFonts w:hint="default" w:ascii="Times New Roman Regular" w:hAnsi="Times New Roman Regular" w:eastAsia="黑体" w:cs="Times New Roman Regular"/>
          <w:sz w:val="32"/>
          <w:szCs w:val="32"/>
        </w:rPr>
        <w:t>一、</w:t>
      </w:r>
      <w:r>
        <w:rPr>
          <w:rFonts w:hint="default" w:ascii="Times New Roman Regular" w:hAnsi="Times New Roman Regular" w:eastAsia="黑体" w:cs="Times New Roman Regular"/>
          <w:sz w:val="32"/>
          <w:szCs w:val="32"/>
          <w:lang w:val="en-US" w:eastAsia="zh-CN"/>
        </w:rPr>
        <w:t>专科介绍（500字以内）</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中山七院输血科是按照综合性三级甲等医院标准独立建制的科室，现有医务人员</w:t>
      </w:r>
      <w:r>
        <w:rPr>
          <w:rFonts w:hint="eastAsia" w:ascii="Times New Roman Regular" w:hAnsi="Times New Roman Regular" w:eastAsia="仿宋" w:cs="Times New Roman Regular"/>
          <w:sz w:val="32"/>
          <w:szCs w:val="32"/>
          <w:lang w:val="en-US" w:eastAsia="zh-CN"/>
        </w:rPr>
        <w:t>12</w:t>
      </w:r>
      <w:r>
        <w:rPr>
          <w:rFonts w:hint="default" w:ascii="Times New Roman Regular" w:hAnsi="Times New Roman Regular" w:eastAsia="仿宋" w:cs="Times New Roman Regular"/>
          <w:sz w:val="32"/>
          <w:szCs w:val="32"/>
          <w:lang w:val="en-US" w:eastAsia="zh-CN"/>
        </w:rPr>
        <w:t>名，其中正高1名、副高1名、主管</w:t>
      </w:r>
      <w:r>
        <w:rPr>
          <w:rFonts w:hint="eastAsia" w:ascii="Times New Roman Regular" w:hAnsi="Times New Roman Regular" w:eastAsia="仿宋" w:cs="Times New Roman Regular"/>
          <w:sz w:val="32"/>
          <w:szCs w:val="32"/>
          <w:lang w:val="en-US" w:eastAsia="zh-CN"/>
        </w:rPr>
        <w:t>5</w:t>
      </w:r>
      <w:r>
        <w:rPr>
          <w:rFonts w:hint="default" w:ascii="Times New Roman Regular" w:hAnsi="Times New Roman Regular" w:eastAsia="仿宋" w:cs="Times New Roman Regular"/>
          <w:sz w:val="32"/>
          <w:szCs w:val="32"/>
          <w:lang w:val="en-US" w:eastAsia="zh-CN"/>
        </w:rPr>
        <w:t>名，博士2名、硕士3名，专业技术过硬，团队协作能力强。医疗方面，科室设备先进，拥有全自动血型鉴定仪、全自动配血系统、大型血液保存专用冰箱、血液专用低温冰箱、血浆解冻仪、全自动血小板恒温振荡保存仪等，二期将购置PCR仪、智能血库，配备输血治疗室。临床检测项目涵盖微柱凝胶法血型鉴定及交叉配血、RhCcEe多抗原配型输血、疑难血型鉴定、疑难交叉配血、不规则抗体筛选与鉴定、移植患者血型抗体监测、输血反应处理与检测、新生儿溶血病实验等。配合临床开展自体输血、胎儿宫内输血、富血小板血浆PRP输注等输血治疗项目。教学方面，科室已连续举办四届“输血技术进展光明论坛”，聚焦输血技术、临床输血知识、共识解读及科研前沿四大主题，参会学员覆盖全国50多个城市、300余家医疗单位。承办临床科学合理用血知识培训班，邀请国内知名专家授课。科研方面，科室依托中山大学平台，参与造血干细胞移植、基因编辑治疗等前沿课题。管理方面，科室对标国际国内一流，积极推进智能化血液管理，引入智能血液储存系统以及无人机急救送血等创新模式，致力打造智能化血液管理的标杆医院。</w:t>
      </w:r>
    </w:p>
    <w:p>
      <w:pPr>
        <w:spacing w:line="560" w:lineRule="exact"/>
        <w:rPr>
          <w:rFonts w:hint="default" w:ascii="Times New Roman Regular" w:hAnsi="Times New Roman Regular" w:eastAsia="黑体" w:cs="Times New Roman Regular"/>
          <w:b w:val="0"/>
          <w:bCs w:val="0"/>
          <w:sz w:val="32"/>
          <w:szCs w:val="32"/>
          <w:lang w:val="en-US" w:eastAsia="zh-CN"/>
        </w:rPr>
      </w:pPr>
      <w:r>
        <w:rPr>
          <w:rFonts w:hint="default" w:ascii="Times New Roman Regular" w:hAnsi="Times New Roman Regular" w:eastAsia="黑体" w:cs="Times New Roman Regular"/>
          <w:b w:val="0"/>
          <w:bCs w:val="0"/>
          <w:sz w:val="32"/>
          <w:szCs w:val="32"/>
        </w:rPr>
        <w:t>二、</w:t>
      </w:r>
      <w:r>
        <w:rPr>
          <w:rFonts w:hint="default" w:ascii="Times New Roman Regular" w:hAnsi="Times New Roman Regular" w:eastAsia="黑体" w:cs="Times New Roman Regular"/>
          <w:b w:val="0"/>
          <w:bCs w:val="0"/>
          <w:sz w:val="32"/>
          <w:szCs w:val="32"/>
          <w:lang w:val="en-US" w:eastAsia="zh-CN"/>
        </w:rPr>
        <w:t>项目特色</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中山七院输血科进修培训以“理论夯实+实操强化+案例浸润”三位一体为核心带教模式，致力于在6个月内帮助学员实现从“熟练操作”到“系统思维”的全面提升。</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一、阶梯式模块化课程体系</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培训内容划分为临床用血管理、基础理论、试验方法、综合分析、示教实操五大模块，由浅入深、螺旋递进。前两个月重点夯实ABO/Rh血型系统、柱凝集技术及凝聚胺技术等基础功底；中间两个月聚焦疑难配血、抗体鉴定、真假凝集鉴别等核心技术突破；最后两个月围绕新生儿溶血病、宫内输血、造血干细胞移植患者用血管理、急慢性输血反应处置等高阶专题开展病例分析，实现从“知其然”到“知其所以然”的跃升。</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二、“手把手”示教+案例复盘双轨带教</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科室拥有</w:t>
      </w:r>
      <w:r>
        <w:rPr>
          <w:rFonts w:hint="eastAsia" w:ascii="Times New Roman Regular" w:hAnsi="Times New Roman Regular" w:eastAsia="仿宋" w:cs="Times New Roman Regular"/>
          <w:sz w:val="32"/>
          <w:szCs w:val="32"/>
          <w:lang w:val="en-US" w:eastAsia="zh-CN"/>
        </w:rPr>
        <w:t>12</w:t>
      </w:r>
      <w:r>
        <w:rPr>
          <w:rFonts w:hint="default" w:ascii="Times New Roman Regular" w:hAnsi="Times New Roman Regular" w:eastAsia="仿宋" w:cs="Times New Roman Regular"/>
          <w:sz w:val="32"/>
          <w:szCs w:val="32"/>
          <w:lang w:val="en-US" w:eastAsia="zh-CN"/>
        </w:rPr>
        <w:t>人资深带教师资团队，实行“一对一”跟班带教。示教课程覆盖试管法凝集强度判读、经典抗人球蛋白试验、抗体效价测定、巯基试剂破坏IgM抗体等10项核心技术操作，带教老师全程指导操作规范，确保每位学员熟练掌握。每周固定开展疑难案例讨论，由学员主讲、全员复盘，至今已完成疑难血型及配血案例逾百例，重点培养学员独立分析和解决复杂问题的能力。</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三、专病特色与前沿技术深度融合</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依托我院宫内输血（深圳市例数最多）、造血干细胞移植患者输血管理、PRP治疗等特色临床资源，学员可系统学习移植患者血型抗体监测规律、宫内输血围术期管理流程等独家内容。科室已连续举办四届“输血技术进展光明论坛”，学员可免费参与，与全国同行交流前沿动态。</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四、质量管理思维全程贯穿</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将室间质评、室内质控、输血不良反应上报与追踪、临床用血检查等管理内容贯穿培训始终，帮助学员不仅掌握技术本身，更建立规范化的质量管理意识，具备独立承担输血科日常管理和质控工作的能力。</w:t>
      </w:r>
    </w:p>
    <w:p>
      <w:pPr>
        <w:spacing w:line="560" w:lineRule="exact"/>
        <w:rPr>
          <w:rFonts w:hint="default" w:ascii="Times New Roman Regular" w:hAnsi="Times New Roman Regular" w:eastAsia="黑体" w:cs="Times New Roman Regular"/>
          <w:b w:val="0"/>
          <w:bCs w:val="0"/>
          <w:sz w:val="32"/>
          <w:szCs w:val="32"/>
          <w:lang w:val="en-US"/>
        </w:rPr>
      </w:pPr>
      <w:r>
        <w:rPr>
          <w:rFonts w:hint="default" w:ascii="Times New Roman Regular" w:hAnsi="Times New Roman Regular" w:eastAsia="黑体" w:cs="Times New Roman Regular"/>
          <w:b w:val="0"/>
          <w:bCs w:val="0"/>
          <w:sz w:val="32"/>
          <w:szCs w:val="32"/>
          <w:lang w:eastAsia="zh-CN"/>
        </w:rPr>
        <w:t>三</w:t>
      </w:r>
      <w:r>
        <w:rPr>
          <w:rFonts w:hint="default" w:ascii="Times New Roman Regular" w:hAnsi="Times New Roman Regular" w:eastAsia="黑体" w:cs="Times New Roman Regular"/>
          <w:b w:val="0"/>
          <w:bCs w:val="0"/>
          <w:sz w:val="32"/>
          <w:szCs w:val="32"/>
        </w:rPr>
        <w:t>、</w:t>
      </w:r>
      <w:r>
        <w:rPr>
          <w:rFonts w:hint="default" w:ascii="Times New Roman Regular" w:hAnsi="Times New Roman Regular" w:eastAsia="黑体" w:cs="Times New Roman Regular"/>
          <w:b w:val="0"/>
          <w:bCs w:val="0"/>
          <w:sz w:val="32"/>
          <w:szCs w:val="32"/>
          <w:lang w:val="en-US" w:eastAsia="zh-CN"/>
        </w:rPr>
        <w:t>师资团队</w:t>
      </w:r>
    </w:p>
    <w:p>
      <w:pPr>
        <w:spacing w:line="560" w:lineRule="exact"/>
        <w:ind w:firstLine="640" w:firstLineChars="200"/>
        <w:rPr>
          <w:rFonts w:hint="default" w:ascii="Times New Roman Regular" w:hAnsi="Times New Roman Regular" w:eastAsia="仿宋" w:cs="Times New Roman Regular"/>
          <w:sz w:val="32"/>
          <w:szCs w:val="32"/>
        </w:rPr>
      </w:pPr>
      <w:r>
        <w:rPr>
          <w:rFonts w:hint="default" w:ascii="Times New Roman Regular" w:hAnsi="Times New Roman Regular" w:eastAsia="仿宋" w:cs="Times New Roman Regular"/>
          <w:sz w:val="32"/>
          <w:szCs w:val="32"/>
        </w:rPr>
        <w:t>中山七院输血科目前共有</w:t>
      </w:r>
      <w:r>
        <w:rPr>
          <w:rFonts w:hint="eastAsia" w:ascii="Times New Roman Regular" w:hAnsi="Times New Roman Regular" w:eastAsia="仿宋" w:cs="Times New Roman Regular"/>
          <w:sz w:val="32"/>
          <w:szCs w:val="32"/>
          <w:lang w:val="en-US" w:eastAsia="zh-CN"/>
        </w:rPr>
        <w:t>12</w:t>
      </w:r>
      <w:r>
        <w:rPr>
          <w:rFonts w:hint="default" w:ascii="Times New Roman Regular" w:hAnsi="Times New Roman Regular" w:eastAsia="仿宋" w:cs="Times New Roman Regular"/>
          <w:sz w:val="32"/>
          <w:szCs w:val="32"/>
        </w:rPr>
        <w:t>名带教师资，其中高级职称2人、中级职称</w:t>
      </w:r>
      <w:r>
        <w:rPr>
          <w:rFonts w:hint="eastAsia" w:ascii="Times New Roman Regular" w:hAnsi="Times New Roman Regular" w:eastAsia="仿宋" w:cs="Times New Roman Regular"/>
          <w:sz w:val="32"/>
          <w:szCs w:val="32"/>
          <w:lang w:val="en-US" w:eastAsia="zh-CN"/>
        </w:rPr>
        <w:t>5</w:t>
      </w:r>
      <w:r>
        <w:rPr>
          <w:rFonts w:hint="default" w:ascii="Times New Roman Regular" w:hAnsi="Times New Roman Regular" w:eastAsia="仿宋" w:cs="Times New Roman Regular"/>
          <w:sz w:val="32"/>
          <w:szCs w:val="32"/>
        </w:rPr>
        <w:t>人，团队成员在疑难血型鉴定、临床输血管理、质量控制、新生儿溶血病实验诊断、宫内输血围术期管理等方面具有丰富的理论和实践经验，连续多年承担进修生、实习生带教任务，教学经验扎实。</w:t>
      </w:r>
    </w:p>
    <w:p>
      <w:pPr>
        <w:spacing w:line="560" w:lineRule="exact"/>
        <w:ind w:firstLine="640" w:firstLineChars="200"/>
        <w:rPr>
          <w:rFonts w:hint="default" w:ascii="Times New Roman Regular" w:hAnsi="Times New Roman Regular" w:eastAsia="仿宋" w:cs="Times New Roman Regular"/>
          <w:sz w:val="32"/>
          <w:szCs w:val="32"/>
        </w:rPr>
      </w:pPr>
      <w:r>
        <w:rPr>
          <w:rFonts w:hint="default" w:ascii="Times New Roman Regular" w:hAnsi="Times New Roman Regular" w:eastAsia="仿宋" w:cs="Times New Roman Regular"/>
          <w:sz w:val="32"/>
          <w:szCs w:val="32"/>
        </w:rPr>
        <w:t>学科带头人</w:t>
      </w:r>
      <w:r>
        <w:rPr>
          <w:rFonts w:hint="eastAsia" w:ascii="Times New Roman Regular" w:hAnsi="Times New Roman Regular" w:eastAsia="仿宋" w:cs="Times New Roman Regular"/>
          <w:sz w:val="32"/>
          <w:szCs w:val="32"/>
          <w:lang w:val="en-US" w:eastAsia="zh-CN"/>
        </w:rPr>
        <w:t>---</w:t>
      </w:r>
      <w:r>
        <w:rPr>
          <w:rFonts w:hint="default" w:ascii="Times New Roman Regular" w:hAnsi="Times New Roman Regular" w:eastAsia="仿宋" w:cs="Times New Roman Regular"/>
          <w:sz w:val="32"/>
          <w:szCs w:val="32"/>
        </w:rPr>
        <w:t>许晓军：血液内科主任、输血科主任，医学博士、主任医师、博士后合作导师、硕士生导师。从事血液病临床、科研及教学工作三十余年，2007年获得国家非血缘造血干细胞移植资质，系世界首例心脏移植后同供体骨髓移植的主要完成人，该病例入选大型历史文献《敢为人先——广东改革开放一千个率先》（卫生事业卷）。主持省级科研课题3项、厅局级课题3项，以第一完成人获市科技进步一等奖1项、二等奖3项、三等奖2项；发表学术论文60余篇，其中SCI收录21篇；主编血液病医学专著2部、副主编1部、参编1部。</w:t>
      </w:r>
    </w:p>
    <w:p>
      <w:pPr>
        <w:spacing w:line="560" w:lineRule="exact"/>
        <w:ind w:firstLine="640" w:firstLineChars="200"/>
        <w:rPr>
          <w:rFonts w:hint="default" w:ascii="Times New Roman Regular" w:hAnsi="Times New Roman Regular" w:eastAsia="仿宋" w:cs="Times New Roman Regular"/>
          <w:sz w:val="32"/>
          <w:szCs w:val="32"/>
        </w:rPr>
      </w:pPr>
      <w:r>
        <w:rPr>
          <w:rFonts w:hint="default" w:ascii="Times New Roman Regular" w:hAnsi="Times New Roman Regular" w:eastAsia="仿宋" w:cs="Times New Roman Regular"/>
          <w:sz w:val="32"/>
          <w:szCs w:val="32"/>
        </w:rPr>
        <w:t>带教负责人</w:t>
      </w:r>
      <w:r>
        <w:rPr>
          <w:rFonts w:hint="eastAsia" w:ascii="Times New Roman Regular" w:hAnsi="Times New Roman Regular" w:eastAsia="仿宋" w:cs="Times New Roman Regular"/>
          <w:sz w:val="32"/>
          <w:szCs w:val="32"/>
          <w:lang w:val="en-US" w:eastAsia="zh-CN"/>
        </w:rPr>
        <w:t>---</w:t>
      </w:r>
      <w:r>
        <w:rPr>
          <w:rFonts w:hint="default" w:ascii="Times New Roman Regular" w:hAnsi="Times New Roman Regular" w:eastAsia="仿宋" w:cs="Times New Roman Regular"/>
          <w:sz w:val="32"/>
          <w:szCs w:val="32"/>
        </w:rPr>
        <w:t>钟燕玲：医务部副主任、输血科副主任、主管技师。熟练掌握血型鉴定、交叉配血、不规则抗体筛查等常规项目，在新生儿溶血病检测、抗体效价检测等血清学实验方面经验丰富，擅长解决疑难血型鉴定等复杂问题，在临床输血管理和质量控制方面具有扎实功底。</w:t>
      </w:r>
    </w:p>
    <w:p>
      <w:pPr>
        <w:spacing w:line="560" w:lineRule="exact"/>
        <w:ind w:firstLine="640" w:firstLineChars="200"/>
        <w:rPr>
          <w:rFonts w:hint="default" w:ascii="Times New Roman Regular" w:hAnsi="Times New Roman Regular" w:eastAsia="仿宋" w:cs="Times New Roman Regular"/>
          <w:sz w:val="32"/>
          <w:szCs w:val="32"/>
        </w:rPr>
      </w:pPr>
      <w:r>
        <w:rPr>
          <w:rFonts w:hint="default" w:ascii="Times New Roman Regular" w:hAnsi="Times New Roman Regular" w:eastAsia="仿宋" w:cs="Times New Roman Regular"/>
          <w:sz w:val="32"/>
          <w:szCs w:val="32"/>
        </w:rPr>
        <w:t>此外，带教团队还包括孙宏华、高婧、黄皑、梁婷、段德玉、</w:t>
      </w:r>
      <w:bookmarkStart w:id="0" w:name="_GoBack"/>
      <w:bookmarkEnd w:id="0"/>
      <w:r>
        <w:rPr>
          <w:rFonts w:hint="default" w:ascii="Times New Roman Regular" w:hAnsi="Times New Roman Regular" w:eastAsia="仿宋" w:cs="Times New Roman Regular"/>
          <w:sz w:val="32"/>
          <w:szCs w:val="32"/>
        </w:rPr>
        <w:t>毛双、彭燕华、谢舒宁等一批经验丰富的专业技术骨干，覆盖血型血清学检测、疑难配血、抗体鉴定、质量管理等多个方向，确保学员在进修期间获得“一对一”跟班式的系统指导。</w:t>
      </w:r>
    </w:p>
    <w:p>
      <w:pPr>
        <w:numPr>
          <w:ilvl w:val="0"/>
          <w:numId w:val="1"/>
        </w:numPr>
        <w:spacing w:line="560" w:lineRule="exact"/>
        <w:rPr>
          <w:rFonts w:hint="default" w:ascii="Times New Roman Regular" w:hAnsi="Times New Roman Regular" w:eastAsia="黑体" w:cs="Times New Roman Regular"/>
          <w:b w:val="0"/>
          <w:bCs w:val="0"/>
          <w:sz w:val="32"/>
          <w:szCs w:val="32"/>
          <w:lang w:val="en-US" w:eastAsia="zh-CN"/>
        </w:rPr>
      </w:pPr>
      <w:r>
        <w:rPr>
          <w:rFonts w:hint="default" w:ascii="Times New Roman Regular" w:hAnsi="Times New Roman Regular" w:eastAsia="黑体" w:cs="Times New Roman Regular"/>
          <w:b w:val="0"/>
          <w:bCs w:val="0"/>
          <w:sz w:val="32"/>
          <w:szCs w:val="32"/>
          <w:lang w:val="en-US" w:eastAsia="zh-CN"/>
        </w:rPr>
        <w:t>培训目标</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输血科进修培训以培养具备扎实理论基础、规范操作技能和独立分析能力的输血医学专业人才为核心目标。通过6个月的系统培训，使学员在以下方面实现全面提升：</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一、掌握规范化的岗位操作技能</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掌握输血科各岗位设置、岗位要求及岗位责任，熟悉血液预约与发放、Rh阴性用血管理、紧急用血及应急处理等工作流程。能够独立完成盐水介质、凝聚胺技术、抗人球蛋白技术和微柱凝胶技术的试验操作，掌握试管法与柱凝集技术的凝集强度判读标准。具备ABO血型鉴定、Rh血型鉴定及RhD阴性确认的能力，了解常见ABO正反定型不符的产生原因及处理方法。</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二、具备独立处理疑难问题的能力</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掌握交叉配血与疑难配血的分析思路，熟悉疑难抗体鉴定流程及真假细胞凝集的鉴别方法。了解疑难用血处理程序，能够在指导下参与大出血患者的血液管理及造血干细胞移植患者的临床用血管理。通过大量疑难案例分析与复盘训练，培养学员独立分析和解决复杂血清学问题的系统思维。</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三、建立全面的临床输血质量管理意识</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掌握室间质评、室内质控的方法与意义，熟悉输血不良反应的查询与上报流程，了解临床用血检查的规范要求。树立规范化质量管理理念，具备独立承担输血科日常管理和质量控制的综合能力。</w:t>
      </w:r>
    </w:p>
    <w:p>
      <w:pPr>
        <w:spacing w:line="560" w:lineRule="exac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四、掌握特色专病输血管理知识</w:t>
      </w:r>
    </w:p>
    <w:p>
      <w:pPr>
        <w:spacing w:line="560" w:lineRule="exact"/>
        <w:ind w:firstLine="640" w:firstLineChars="200"/>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依托我院在宫内输血、新生儿溶血病实验诊断、移植患者血型抗体监测等领域的特色临床资源，系统学习相关理论知识和管理流程，提升在特殊人群输血管理方面的专业水平。</w:t>
      </w:r>
    </w:p>
    <w:p>
      <w:pPr>
        <w:spacing w:line="560" w:lineRule="exact"/>
        <w:ind w:firstLine="640" w:firstLineChars="200"/>
        <w:rPr>
          <w:rFonts w:hint="default" w:ascii="Times New Roman Regular" w:hAnsi="Times New Roman Regular" w:eastAsia="黑体" w:cs="Times New Roman Regular"/>
          <w:b w:val="0"/>
          <w:bCs w:val="0"/>
          <w:sz w:val="32"/>
          <w:szCs w:val="32"/>
          <w:lang w:val="en-US" w:eastAsia="zh-CN"/>
        </w:rPr>
      </w:pPr>
      <w:r>
        <w:rPr>
          <w:rFonts w:hint="default" w:ascii="Times New Roman Regular" w:hAnsi="Times New Roman Regular" w:eastAsia="仿宋" w:cs="Times New Roman Regular"/>
          <w:sz w:val="32"/>
          <w:szCs w:val="32"/>
          <w:lang w:val="en-US" w:eastAsia="zh-CN"/>
        </w:rPr>
        <w:t>培训期满后，学员能够独立胜任输血科日常检验与管理工作，具备持续学习和解决临床输血问题的综合能力，为返回原单位开展或提升输血科相关工作奠定坚实基础。</w:t>
      </w:r>
    </w:p>
    <w:p>
      <w:pPr>
        <w:spacing w:line="560" w:lineRule="exact"/>
        <w:rPr>
          <w:rFonts w:hint="default" w:ascii="Times New Roman Regular" w:hAnsi="Times New Roman Regular" w:eastAsia="黑体" w:cs="Times New Roman Regular"/>
          <w:b w:val="0"/>
          <w:bCs w:val="0"/>
          <w:sz w:val="32"/>
          <w:szCs w:val="32"/>
          <w:lang w:val="en-US" w:eastAsia="zh-CN"/>
        </w:rPr>
      </w:pPr>
      <w:r>
        <w:rPr>
          <w:rFonts w:hint="default" w:ascii="Times New Roman Regular" w:hAnsi="Times New Roman Regular" w:eastAsia="黑体" w:cs="Times New Roman Regular"/>
          <w:b w:val="0"/>
          <w:bCs w:val="0"/>
          <w:sz w:val="32"/>
          <w:szCs w:val="32"/>
          <w:lang w:val="en-US" w:eastAsia="zh-CN"/>
        </w:rPr>
        <w:t>五、培训方案</w:t>
      </w:r>
    </w:p>
    <w:p>
      <w:pPr>
        <w:numPr>
          <w:ilvl w:val="0"/>
          <w:numId w:val="2"/>
        </w:numPr>
        <w:spacing w:line="560" w:lineRule="exact"/>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研修时长</w:t>
      </w:r>
    </w:p>
    <w:p>
      <w:pPr>
        <w:numPr>
          <w:numId w:val="0"/>
        </w:numPr>
        <w:spacing w:line="560" w:lineRule="exact"/>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 xml:space="preserve">      培训周期为6个月（全年接收报名，具体入学时间可协商安排）</w:t>
      </w:r>
    </w:p>
    <w:p>
      <w:pPr>
        <w:numPr>
          <w:ilvl w:val="0"/>
          <w:numId w:val="2"/>
        </w:numPr>
        <w:spacing w:line="560" w:lineRule="exact"/>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学习内容/</w:t>
      </w:r>
      <w:r>
        <w:rPr>
          <w:rFonts w:hint="default" w:ascii="Times New Roman Regular" w:hAnsi="Times New Roman Regular" w:eastAsia="仿宋" w:cs="Times New Roman Regular"/>
          <w:sz w:val="32"/>
          <w:szCs w:val="32"/>
          <w:lang w:val="en-US" w:eastAsia="zh-CN"/>
        </w:rPr>
        <w:t>课程设置（理论课程+临床实践+技能训练）</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仿宋" w:cs="Times New Roman Regular"/>
          <w:sz w:val="32"/>
          <w:szCs w:val="32"/>
          <w:lang w:val="en-US" w:eastAsia="zh-CN"/>
        </w:rPr>
        <w:t>课程体系涵盖临床用血管理、输血科基础理论、试验方法、综合分析、示教实操五大模块，总计120学时（理论授课60学时+示教实操60学时），具体设置如下：</w:t>
      </w:r>
    </w:p>
    <w:tbl>
      <w:tblPr>
        <w:tblStyle w:val="17"/>
        <w:tblW w:w="8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667"/>
        <w:gridCol w:w="4083"/>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仿宋" w:cs="Times New Roman Regular"/>
                <w:sz w:val="32"/>
                <w:szCs w:val="32"/>
                <w:vertAlign w:val="baseline"/>
                <w:lang w:val="en-US" w:eastAsia="zh-CN"/>
              </w:rPr>
              <w:t>授课人姓名</w:t>
            </w:r>
          </w:p>
        </w:tc>
        <w:tc>
          <w:tcPr>
            <w:tcW w:w="1667"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仿宋" w:cs="Times New Roman Regular"/>
                <w:sz w:val="32"/>
                <w:szCs w:val="32"/>
                <w:vertAlign w:val="baseline"/>
                <w:lang w:val="en-US" w:eastAsia="zh-CN"/>
              </w:rPr>
              <w:t>职称</w:t>
            </w:r>
          </w:p>
        </w:tc>
        <w:tc>
          <w:tcPr>
            <w:tcW w:w="4083"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仿宋" w:cs="Times New Roman Regular"/>
                <w:sz w:val="32"/>
                <w:szCs w:val="32"/>
                <w:vertAlign w:val="baseline"/>
                <w:lang w:val="en-US" w:eastAsia="zh-CN"/>
              </w:rPr>
              <w:t>课程</w:t>
            </w:r>
          </w:p>
        </w:tc>
        <w:tc>
          <w:tcPr>
            <w:tcW w:w="1035"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仿宋" w:cs="Times New Roman Regular"/>
                <w:sz w:val="32"/>
                <w:szCs w:val="32"/>
                <w:vertAlign w:val="baseline"/>
                <w:lang w:val="en-US" w:eastAsia="zh-CN"/>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42" w:hRule="atLeast"/>
        </w:trPr>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孙宏华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副主任技师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color w:val="BFBFBF" w:themeColor="background1" w:themeShade="BF"/>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输血前检查、输血申请和标本要求及处理</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钟燕玲</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血液发放、血液预约、紧急用血流程</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高婧</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Rh阴性用血管理和应急用血</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钟燕玲</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常见血液制品的临床应用（全血及成分血的制备与质量要求）</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段德玉</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院内感染、手卫生、医疗垃圾分类和职业防护</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段德玉</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ABO血型系统+Rh血型系统</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段德玉</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柱凝集技术</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钟燕玲</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盐水介质试验及试管法凝集强度判读</w:t>
            </w: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w:t>
            </w: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凝聚胺介质试验技术</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高婧</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ABO血型鉴定及正反不符的处理</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高婧</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Rh血型鉴定及RhD阴性确认</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彭燕华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交叉配血与疑难配血</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高婧</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疑难抗体鉴定案例分析</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高婧</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真假细胞凝集鉴别</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钟燕玲</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Lewis、MNs、Duffy、Kidd血型系统</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黄皑</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Kell血型系统</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梁婷</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主治医师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新生儿溶血病实验诊断</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彭燕华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经典抗人球蛋白技术、直接抗人球蛋白试验</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梁婷</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主治医师</w:t>
            </w:r>
          </w:p>
        </w:tc>
        <w:tc>
          <w:tcPr>
            <w:tcW w:w="4083" w:type="dxa"/>
            <w:vAlign w:val="center"/>
          </w:tcPr>
          <w:p>
            <w:pPr>
              <w:keepNext w:val="0"/>
              <w:keepLines w:val="0"/>
              <w:widowControl/>
              <w:suppressLineNumbers w:val="0"/>
              <w:jc w:val="center"/>
              <w:rPr>
                <w:rFonts w:hint="default" w:ascii="Times New Roman Regular" w:hAnsi="Times New Roman Regular" w:cs="Times New Roman Regul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大出血患者的血液管理</w:t>
            </w:r>
          </w:p>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抗筛阳性案例分析</w:t>
            </w:r>
          </w:p>
        </w:tc>
        <w:tc>
          <w:tcPr>
            <w:tcW w:w="1035"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梁婷</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主治医师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急性（迟发性）输血反应案例分析</w:t>
            </w:r>
          </w:p>
        </w:tc>
        <w:tc>
          <w:tcPr>
            <w:tcW w:w="1035"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彭燕华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新生儿溶血病宫内输血病例分析</w:t>
            </w:r>
          </w:p>
        </w:tc>
        <w:tc>
          <w:tcPr>
            <w:tcW w:w="1035"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彭燕华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输血不良反应查询和上报流程</w:t>
            </w:r>
          </w:p>
        </w:tc>
        <w:tc>
          <w:tcPr>
            <w:tcW w:w="1035"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梁婷</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主治医师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造血干细胞移植患者临床用血管理</w:t>
            </w:r>
          </w:p>
        </w:tc>
        <w:tc>
          <w:tcPr>
            <w:tcW w:w="1035"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atLeast"/>
        </w:trPr>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孙宏华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副主任技师</w:t>
            </w:r>
          </w:p>
        </w:tc>
        <w:tc>
          <w:tcPr>
            <w:tcW w:w="4083" w:type="dxa"/>
            <w:vAlign w:val="center"/>
          </w:tcPr>
          <w:p>
            <w:pPr>
              <w:keepNext w:val="0"/>
              <w:keepLines w:val="0"/>
              <w:widowControl/>
              <w:suppressLineNumbers w:val="0"/>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血栓弹力图临床应用</w:t>
            </w:r>
          </w:p>
        </w:tc>
        <w:tc>
          <w:tcPr>
            <w:tcW w:w="1035"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钟燕玲</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室间质评、室内质控方法与意义</w:t>
            </w:r>
          </w:p>
        </w:tc>
        <w:tc>
          <w:tcPr>
            <w:tcW w:w="1035" w:type="dxa"/>
            <w:vAlign w:val="center"/>
          </w:tcPr>
          <w:p>
            <w:pPr>
              <w:spacing w:line="560" w:lineRule="exact"/>
              <w:jc w:val="center"/>
              <w:rPr>
                <w:rFonts w:hint="default" w:ascii="Times New Roman Regular" w:hAnsi="Times New Roman Regular" w:eastAsia="仿宋" w:cs="Times New Roman Regular"/>
                <w:sz w:val="32"/>
                <w:szCs w:val="32"/>
                <w:vertAlign w:val="baseline"/>
                <w:lang w:val="en-US" w:eastAsia="zh-CN"/>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黄皑</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盐水试管法凝集强度判断（示教+实操）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黄皑</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凝聚胺介质试验（示教+实操）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彭燕华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经典抗人球蛋白技术、直接抗人球蛋白（示教+实操）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彭燕华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交叉配血试验（示教+实操）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彭燕华</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ABO+Rh血型鉴定（示教+实操）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毛双</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新生儿溶血病检测（示教+实操）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黄皑</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抗体鉴定（示教+实操）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毛双</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巯基试剂破坏IgM抗体（示教+实操）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黄皑</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抗体效价测定（示教+实操）</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黄皑</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疑难血型与疑难配血综合案例分析</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钟燕玲</w:t>
            </w:r>
          </w:p>
        </w:tc>
        <w:tc>
          <w:tcPr>
            <w:tcW w:w="1667"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主管技师</w:t>
            </w:r>
          </w:p>
        </w:tc>
        <w:tc>
          <w:tcPr>
            <w:tcW w:w="4083" w:type="dxa"/>
            <w:vAlign w:val="center"/>
          </w:tcPr>
          <w:p>
            <w:pPr>
              <w:keepNext w:val="0"/>
              <w:keepLines w:val="0"/>
              <w:widowControl/>
              <w:suppressLineNumbers w:val="0"/>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阶段考核与结业综合能力评估</w:t>
            </w:r>
          </w:p>
        </w:tc>
        <w:tc>
          <w:tcPr>
            <w:tcW w:w="1035" w:type="dxa"/>
            <w:vAlign w:val="center"/>
          </w:tcPr>
          <w:p>
            <w:pPr>
              <w:spacing w:line="560" w:lineRule="exact"/>
              <w:jc w:val="cente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pPr>
            <w:r>
              <w:rPr>
                <w:rFonts w:hint="default" w:ascii="Times New Roman Regular" w:hAnsi="Times New Roman Regular" w:eastAsia="Helvetica Neue" w:cs="Times New Roman Regular"/>
                <w:b w:val="0"/>
                <w:bCs w:val="0"/>
                <w:i w:val="0"/>
                <w:iCs w:val="0"/>
                <w:caps w:val="0"/>
                <w:color w:val="0F1115"/>
                <w:spacing w:val="0"/>
                <w:kern w:val="0"/>
                <w:sz w:val="30"/>
                <w:szCs w:val="30"/>
                <w:u w:val="none"/>
                <w:shd w:val="clear" w:fill="FFFFFF"/>
                <w:lang w:val="en-US" w:eastAsia="zh-CN" w:bidi="ar"/>
              </w:rPr>
              <w:t>4</w:t>
            </w:r>
          </w:p>
        </w:tc>
      </w:tr>
    </w:tbl>
    <w:p>
      <w:pPr>
        <w:numPr>
          <w:ilvl w:val="0"/>
          <w:numId w:val="2"/>
        </w:numPr>
        <w:spacing w:line="560" w:lineRule="exact"/>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带教方法</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1.</w:t>
      </w:r>
      <w:r>
        <w:rPr>
          <w:rFonts w:hint="default" w:ascii="Times New Roman Regular" w:hAnsi="Times New Roman Regular" w:eastAsia="仿宋_GB2312" w:cs="Times New Roman Regular"/>
          <w:b w:val="0"/>
          <w:bCs w:val="0"/>
          <w:sz w:val="32"/>
          <w:szCs w:val="32"/>
          <w:lang w:val="en-US" w:eastAsia="zh-CN"/>
        </w:rPr>
        <w:t>“一对一”导师跟班制</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员入科即分配固定带教老师，实行“一对一”跟班带教，全程参与输血科日常检验、发血、质控等全部工作流程。带教老师根据学员基础水平制定个性化学习计划，分阶段进行理论授课、操作示教和技能考核，确保每位学员得到充分关注和精准指导。</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2. 理论授课+示教实操+案例复盘“三位一体”</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理论授课： 以PPT系统讲授为主，结合互动研讨，每周安排2~3次集中理论课，夯实学员对血型系统、试验原理、管理规范等理论知识的理解。理论课程安排专人授课，提前一周下发讲义和预习资料，学员可在课前提交问题，由授课老师在课堂上集中解答，提升学习效率。</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示教实操： 在老师指导下学员亲手操作，涵盖凝集强度判读、凝聚胺试验、抗人球蛋白试验、交叉配血、血型鉴定、抗体鉴定、抗体效价测定等全部核心技术，确保每位学员独立完成至少三轮完整操作，精准掌握每个试验环节的技术要点。</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案例复盘：每周固定开展疑难案例讨论会，由学员主讲，带教老师点评，至今已积累疑难血型及配血案例逾百例，重点培养学员独立分析和解决复杂血清学问题的系统思维。</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3. 分阶段考核+结业综合评估</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第一阶段（第1~2月）基础考核： ABO/Rh血型鉴定及凝集强度判读实操考核，理论笔试（含血型系统基础、柱凝集技术原理）</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第二阶段（第3~4月）进阶考核： 交叉配血、抗体筛查、凝聚胺及抗人球蛋白试验操作考核，疑难案例笔试分析</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第三阶段（第5~6月）高阶考核： 抗体鉴定、效价测定等综合血清学实操考核，疑难病例分析报告撰写</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结业综合评估： 综合三阶段考核成绩、日常表现及出勤情况，由带教团队集体评议，出具结业鉴定意见</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反馈机制： 每次考核后带教老师一对一反馈，指出薄弱环节并制定改进方案，确保学员在下一阶段针对性地提升</w:t>
      </w:r>
    </w:p>
    <w:p>
      <w:pPr>
        <w:numPr>
          <w:ilvl w:val="0"/>
          <w:numId w:val="2"/>
        </w:numPr>
        <w:spacing w:line="560" w:lineRule="exact"/>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培训效果</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通过6个月系统化、规范化的培训，学员将达到以下效果：</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1. 能够独立胜任输血科日常工作</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员结业后可独立完成输血科常规检验项目，包括ABO/Rh血型鉴定、交叉配血、不规则抗体筛查、抗体效价测定及新生儿溶血病检测等，熟悉输血科各岗位工作流程、岗位职责及质量管理要求，具备独立上岗操作的综合能力。</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2. 具备疑难问题分析与处理能力</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员能够对ABO正反定型不符、疑难配血、抗筛阳性等常见疑难问题形成系统的分析思路和处理路径，掌握疑难抗体鉴定的基本方法，了解疑难用血处理程序，能够及时发现并向带教老师汇报问题，在指导下参与处理复杂案例。</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3. 树立规范化质量管理意识</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学员深刻理解室间质评、室内质控的方法与意义，熟悉输血不良反应的识别、查询与上报流程，掌握临床用血检查和管理的规范要求，具备独立承担输血科日常质控工作的能力。</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4. 掌握特色专病输血管理知识</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学员系统学习并掌握我院在宫内输血、新生儿溶血病实验诊断、造血干细胞移植患者血型抗体监测等特色领域的输血管理流程和关键技术，具备在特殊人群输血管理方面的专业知识和实践能力。</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5. 建立持续学习和科研思维</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学员在疑难案例讨论、文献研读和学术论坛参与中培养自主学习习惯和科研思维，能够关注输血医学前沿进展，为今后在原单位开展或提升输血科相关工作、参与学术研究奠定坚实基础。</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学员结业后将获得由中山七院输血科颁发的进修结业证书，并持续保持学术联系，共享科室举办的学术活动资源，为返回原单位后的持续发展提供长期支持。</w:t>
      </w:r>
    </w:p>
    <w:p>
      <w:pPr>
        <w:numPr>
          <w:ilvl w:val="0"/>
          <w:numId w:val="0"/>
        </w:numPr>
        <w:spacing w:line="560" w:lineRule="exact"/>
        <w:rPr>
          <w:rFonts w:hint="default" w:ascii="Times New Roman Regular" w:hAnsi="Times New Roman Regular" w:eastAsia="黑体" w:cs="Times New Roman Regular"/>
          <w:b w:val="0"/>
          <w:bCs w:val="0"/>
          <w:sz w:val="32"/>
          <w:szCs w:val="32"/>
          <w:lang w:val="en-US" w:eastAsia="zh-CN"/>
        </w:rPr>
      </w:pPr>
      <w:r>
        <w:rPr>
          <w:rFonts w:hint="default" w:ascii="Times New Roman Regular" w:hAnsi="Times New Roman Regular" w:eastAsia="黑体" w:cs="Times New Roman Regular"/>
          <w:b w:val="0"/>
          <w:bCs w:val="0"/>
          <w:sz w:val="32"/>
          <w:szCs w:val="32"/>
          <w:lang w:val="en-US" w:eastAsia="zh-CN"/>
        </w:rPr>
        <w:t>六、考核方案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本培训实行过程性评价与结业考核相结合的评估体系。结业考核在培训最后两周统一进行，满分100分，具体构成如下：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理论笔试（30分）：闭卷考试，涵盖</w:t>
      </w:r>
      <w:r>
        <w:rPr>
          <w:rFonts w:hint="default" w:ascii="Times New Roman Regular" w:hAnsi="Times New Roman Regular" w:eastAsia="仿宋_GB2312" w:cs="Times New Roman Regular"/>
          <w:b w:val="0"/>
          <w:bCs w:val="0"/>
          <w:sz w:val="32"/>
          <w:szCs w:val="32"/>
          <w:lang w:val="en-US" w:eastAsia="zh-CN"/>
        </w:rPr>
        <w:t>ABO/Rh/Lewis/MNs</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/Duffy/Kidd/Kell血型系统基础理论、柱凝集技术及凝聚胺试验原理、输血管理规范与法律法规等内容。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技能操作考核（30分）： 现场实操，从血型鉴定（ABO正反定型+RhD）、交叉配血（盐水介质/凝聚胺/抗人球蛋白法）、不规则抗体筛查、抗体效价测定、新生儿溶血病检测中随机抽取两项进行操作考核，评委现场评分。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案例分析答辩（15分）： 学员抽取典型疑难病例（疑难血型/疑难配血/抗筛阳性/输血反应/新生儿溶血病），提交书面分析报告并进行15分钟口头答辩。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科研素养考核（10分）： 学员自选文献汇报或综述撰写。文献汇报需选取输血医学领域近三年SCI论文进行PPT汇报答辩；综述撰写需自选主题完成不少于3000字的文献综述。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日常综合评价（10分）： 由带教老师对出勤情况、学习态度、岗位工作质量、团队协作能力及疑难讨论会参与度进行综合评分。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综合结业汇报（5分）： 10分钟PPT汇报，系统总结六个月学习成果及返回原单位后拟开展的工作计划。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b w:val="0"/>
          <w:bCs w:val="0"/>
          <w:sz w:val="32"/>
          <w:szCs w:val="32"/>
          <w:lang w:val="en-US" w:eastAsia="zh-CN"/>
        </w:rPr>
      </w:pPr>
      <w:r>
        <w:rPr>
          <w:rFonts w:hint="default" w:ascii="Times New Roman Regular" w:hAnsi="Times New Roman Regular" w:eastAsia="仿宋_GB2312" w:cs="Times New Roman Regular"/>
          <w:b w:val="0"/>
          <w:bCs w:val="0"/>
          <w:sz w:val="32"/>
          <w:szCs w:val="32"/>
          <w:lang w:val="en-US" w:eastAsia="zh-CN"/>
        </w:rPr>
        <w:t>合格标准： 总评成绩≥80分者颁发进修结业证书；≥90分者评为优秀进修学员。单项不合格者给予一次补考机会，补考仍不合格需延长培训周期。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lang w:val="en-US" w:eastAsia="zh-CN"/>
        </w:rPr>
      </w:pP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6739025C-E1E2-B010-7735-5F6A9439A14C}"/>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简体">
    <w:altName w:val="汉仪书宋二KW"/>
    <w:panose1 w:val="02010601030101010101"/>
    <w:charset w:val="86"/>
    <w:family w:val="script"/>
    <w:pitch w:val="default"/>
    <w:sig w:usb0="00000000" w:usb1="00000000" w:usb2="00000000" w:usb3="00000000" w:csb0="00040000" w:csb1="00000000"/>
    <w:embedRegular r:id="rId2" w:fontKey="{650E725C-7710-E64A-7735-5F6A57262BAC}"/>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embedRegular r:id="rId3" w:fontKey="{3C6F2C4B-A7FA-C32F-7735-5F6AC224BCC3}"/>
  </w:font>
  <w:font w:name="等线 Light">
    <w:altName w:val="汉仪中等线KW"/>
    <w:panose1 w:val="00000000000000000000"/>
    <w:charset w:val="00"/>
    <w:family w:val="auto"/>
    <w:pitch w:val="default"/>
    <w:sig w:usb0="00000000" w:usb1="00000000" w:usb2="00000000" w:usb3="00000000" w:csb0="00000000" w:csb1="00000000"/>
  </w:font>
  <w:font w:name="Helvetica">
    <w:panose1 w:val="00000000000000000000"/>
    <w:charset w:val="00"/>
    <w:family w:val="auto"/>
    <w:pitch w:val="default"/>
    <w:sig w:usb0="E00002FF" w:usb1="5000785B" w:usb2="00000000" w:usb3="00000000" w:csb0="2000019F" w:csb1="4F010000"/>
  </w:font>
  <w:font w:name="宋体-简">
    <w:panose1 w:val="02010800040101010101"/>
    <w:charset w:val="86"/>
    <w:family w:val="auto"/>
    <w:pitch w:val="default"/>
    <w:sig w:usb0="00000001" w:usb1="080F0000" w:usb2="00000000" w:usb3="00000000" w:csb0="00040000" w:csb1="00000000"/>
  </w:font>
  <w:font w:name="汉仪中简黑简">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Times New Roman Regular">
    <w:panose1 w:val="02020603050405020304"/>
    <w:charset w:val="00"/>
    <w:family w:val="auto"/>
    <w:pitch w:val="default"/>
    <w:sig w:usb0="E0002AEF" w:usb1="C0007841" w:usb2="00000009" w:usb3="00000000" w:csb0="400001FF" w:csb1="FFFF0000"/>
    <w:embedRegular r:id="rId4" w:fontKey="{43F23F58-CE25-9E6C-7735-5F6A36C81B13}"/>
  </w:font>
  <w:font w:name="var(--dsw-font-xxxs-strong-11)">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Symbol">
    <w:altName w:val="Kingsoft Sign"/>
    <w:panose1 w:val="00000000000000000000"/>
    <w:charset w:val="00"/>
    <w:family w:val="auto"/>
    <w:pitch w:val="default"/>
    <w:sig w:usb0="00000000" w:usb1="00000000" w:usb2="00000000" w:usb3="00000000" w:csb0="00000000" w:csb1="00000000"/>
  </w:font>
  <w:font w:name="Courier New">
    <w:panose1 w:val="02070609020205090404"/>
    <w:charset w:val="00"/>
    <w:family w:val="auto"/>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报隶-简">
    <w:panose1 w:val="02010600040101010101"/>
    <w:charset w:val="86"/>
    <w:family w:val="auto"/>
    <w:pitch w:val="default"/>
    <w:sig w:usb0="80000287" w:usb1="280F3C52" w:usb2="00000016" w:usb3="00000000" w:csb0="0004001F" w:csb1="00000000"/>
  </w:font>
  <w:font w:name="凌慧体-繁">
    <w:panose1 w:val="03050602040302020204"/>
    <w:charset w:val="86"/>
    <w:family w:val="auto"/>
    <w:pitch w:val="default"/>
    <w:sig w:usb0="A00002FF" w:usb1="7ACFFCFB" w:usb2="0000001E" w:usb3="00000000" w:csb0="20140183" w:csb1="00000000"/>
  </w:font>
  <w:font w:name="汉仪楷体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E49EC"/>
    <w:multiLevelType w:val="singleLevel"/>
    <w:tmpl w:val="C7FE49EC"/>
    <w:lvl w:ilvl="0" w:tentative="0">
      <w:start w:val="4"/>
      <w:numFmt w:val="chineseCounting"/>
      <w:suff w:val="nothing"/>
      <w:lvlText w:val="%1、"/>
      <w:lvlJc w:val="left"/>
      <w:rPr>
        <w:rFonts w:hint="eastAsia"/>
      </w:rPr>
    </w:lvl>
  </w:abstractNum>
  <w:abstractNum w:abstractNumId="1">
    <w:nsid w:val="EA3086C0"/>
    <w:multiLevelType w:val="singleLevel"/>
    <w:tmpl w:val="EA3086C0"/>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0"/>
    <w:rsid w:val="000C3EDD"/>
    <w:rsid w:val="002430C9"/>
    <w:rsid w:val="002D7C28"/>
    <w:rsid w:val="00470729"/>
    <w:rsid w:val="007231A3"/>
    <w:rsid w:val="00724BF5"/>
    <w:rsid w:val="00832A51"/>
    <w:rsid w:val="009109C8"/>
    <w:rsid w:val="00AB623C"/>
    <w:rsid w:val="00C16BA9"/>
    <w:rsid w:val="00DE55B1"/>
    <w:rsid w:val="00E00000"/>
    <w:rsid w:val="0D4728C2"/>
    <w:rsid w:val="0FFB6786"/>
    <w:rsid w:val="1A805C3C"/>
    <w:rsid w:val="1DCA10D2"/>
    <w:rsid w:val="1F8B46C3"/>
    <w:rsid w:val="24A97F4B"/>
    <w:rsid w:val="385A6D6A"/>
    <w:rsid w:val="43003492"/>
    <w:rsid w:val="47F746F7"/>
    <w:rsid w:val="51BE02C1"/>
    <w:rsid w:val="591B2E50"/>
    <w:rsid w:val="618463A2"/>
    <w:rsid w:val="67D730AF"/>
    <w:rsid w:val="6F5558EE"/>
    <w:rsid w:val="6F9AE284"/>
    <w:rsid w:val="72B80173"/>
    <w:rsid w:val="72D336FA"/>
    <w:rsid w:val="773B29AF"/>
    <w:rsid w:val="7F93F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jc w:val="left"/>
    </w:pPr>
    <w:rPr>
      <w:sz w:val="18"/>
      <w:szCs w:val="18"/>
    </w:rPr>
  </w:style>
  <w:style w:type="paragraph" w:styleId="12">
    <w:name w:val="header"/>
    <w:basedOn w:val="1"/>
    <w:link w:val="38"/>
    <w:unhideWhenUsed/>
    <w:qFormat/>
    <w:uiPriority w:val="99"/>
    <w:pPr>
      <w:tabs>
        <w:tab w:val="center" w:pos="4153"/>
        <w:tab w:val="right" w:pos="8306"/>
      </w:tabs>
      <w:snapToGrid w:val="0"/>
      <w:jc w:val="center"/>
    </w:pPr>
    <w:rPr>
      <w:sz w:val="18"/>
      <w:szCs w:val="18"/>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uiPriority w:val="99"/>
    <w:rPr>
      <w:sz w:val="24"/>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semiHidden/>
    <w:unhideWhenUsed/>
    <w:uiPriority w:val="99"/>
    <w:rPr>
      <w:color w:val="0000FF"/>
      <w:u w:val="single"/>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semiHidden/>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szCs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Intense Reference"/>
    <w:basedOn w:val="18"/>
    <w:qFormat/>
    <w:uiPriority w:val="32"/>
    <w:rPr>
      <w:b/>
      <w:bCs/>
      <w:smallCaps/>
      <w:color w:val="2F5597" w:themeColor="accent1" w:themeShade="BF"/>
      <w:spacing w:val="5"/>
    </w:rPr>
  </w:style>
  <w:style w:type="character" w:customStyle="1" w:styleId="38">
    <w:name w:val="页眉 字符"/>
    <w:basedOn w:val="18"/>
    <w:link w:val="12"/>
    <w:qFormat/>
    <w:uiPriority w:val="99"/>
    <w:rPr>
      <w:sz w:val="18"/>
      <w:szCs w:val="18"/>
    </w:rPr>
  </w:style>
  <w:style w:type="character" w:customStyle="1" w:styleId="39">
    <w:name w:val="页脚 字符"/>
    <w:basedOn w:val="18"/>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362</Words>
  <Characters>372</Characters>
  <Lines>6</Lines>
  <Paragraphs>1</Paragraphs>
  <TotalTime>22</TotalTime>
  <ScaleCrop>false</ScaleCrop>
  <LinksUpToDate>false</LinksUpToDate>
  <CharactersWithSpaces>372</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2025-02-08T22:35:00Z</dcterms:created>
  <dc:creator>guo xiaoran</dc:creator>
  <cp:lastModifiedBy>梁婷</cp:lastModifiedBy>
  <dcterms:modified xsi:type="dcterms:W3CDTF">2026-07-21T17:01:43Z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2052-6.5.2.8766</vt:lpwstr>
  </property>
  <property fmtid="{D5CDD505-2E9C-101B-9397-08002B2CF9AE}" pid="4" name="ICV">
    <vt:lpwstr>572CC2785D634B7886303323BD504E2B_13</vt:lpwstr>
  </property>
</Properties>
</file>